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465B8CEA"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ΚΕΝΗΣ ΘΕΣΗΣ </w:t>
      </w:r>
      <w:r w:rsidR="00051892">
        <w:rPr>
          <w:rFonts w:ascii="Arial" w:hAnsi="Arial" w:cs="Arial"/>
          <w:sz w:val="18"/>
          <w:szCs w:val="18"/>
        </w:rPr>
        <w:t>ΤΕΧΝΙΚΟΥ ΜΗΧΑΝΙΚΟΥ (ΠΡΩΤΟΥ ΔΙΟΡΙΣΜΟΥ)</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655"/>
        <w:gridCol w:w="7883"/>
        <w:gridCol w:w="7"/>
        <w:gridCol w:w="20"/>
        <w:gridCol w:w="14"/>
      </w:tblGrid>
      <w:tr w:rsidR="0008798B" w:rsidRPr="00DD722D" w14:paraId="52B3F577" w14:textId="77777777" w:rsidTr="000A7B0B">
        <w:tc>
          <w:tcPr>
            <w:tcW w:w="10051" w:type="dxa"/>
            <w:gridSpan w:val="8"/>
            <w:tcBorders>
              <w:top w:val="nil"/>
              <w:left w:val="nil"/>
              <w:bottom w:val="nil"/>
              <w:right w:val="nil"/>
            </w:tcBorders>
          </w:tcPr>
          <w:p w14:paraId="7AAF7D2F" w14:textId="1C3B2FEE" w:rsidR="0008798B"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μίας (1) κενής θέσης </w:t>
            </w:r>
            <w:r w:rsidR="00051892">
              <w:rPr>
                <w:rFonts w:ascii="Arial" w:hAnsi="Arial" w:cs="Arial"/>
                <w:sz w:val="18"/>
                <w:szCs w:val="18"/>
              </w:rPr>
              <w:t>Τεχνικού Μηχανικού (Πρώτου Διορισμού).</w:t>
            </w:r>
            <w:r w:rsidR="00E77AB1">
              <w:rPr>
                <w:rFonts w:ascii="Arial" w:hAnsi="Arial" w:cs="Arial"/>
                <w:sz w:val="18"/>
                <w:szCs w:val="18"/>
              </w:rPr>
              <w:t xml:space="preserve"> </w:t>
            </w:r>
            <w:r>
              <w:rPr>
                <w:rFonts w:ascii="Arial" w:hAnsi="Arial" w:cs="Arial"/>
                <w:sz w:val="18"/>
                <w:szCs w:val="18"/>
              </w:rPr>
              <w:t>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5F2A4D5F" w14:textId="77777777" w:rsidR="00051892" w:rsidRDefault="00051892" w:rsidP="00051892">
            <w:pPr>
              <w:rPr>
                <w:rFonts w:ascii="Arial" w:hAnsi="Arial" w:cs="Arial"/>
                <w:bCs/>
                <w:sz w:val="18"/>
                <w:szCs w:val="18"/>
              </w:rPr>
            </w:pPr>
            <w:r w:rsidRPr="00597E60">
              <w:rPr>
                <w:rFonts w:ascii="Arial" w:hAnsi="Arial" w:cs="Arial"/>
                <w:bCs/>
                <w:sz w:val="18"/>
                <w:szCs w:val="18"/>
              </w:rPr>
              <w:t>ΤΕΧΝΙΚΟΣ ΜΗΧΑΝΙΚΟΣ: (Θέση Πρώτου Διορισμού)</w:t>
            </w:r>
          </w:p>
          <w:tbl>
            <w:tblPr>
              <w:tblStyle w:val="TableGrid"/>
              <w:tblW w:w="0" w:type="auto"/>
              <w:tblLayout w:type="fixed"/>
              <w:tblLook w:val="04A0" w:firstRow="1" w:lastRow="0" w:firstColumn="1" w:lastColumn="0" w:noHBand="0" w:noVBand="1"/>
            </w:tblPr>
            <w:tblGrid>
              <w:gridCol w:w="674"/>
              <w:gridCol w:w="709"/>
              <w:gridCol w:w="8245"/>
            </w:tblGrid>
            <w:tr w:rsidR="00051892" w14:paraId="644C876D" w14:textId="77777777" w:rsidTr="00495276">
              <w:tc>
                <w:tcPr>
                  <w:tcW w:w="9628" w:type="dxa"/>
                  <w:gridSpan w:val="3"/>
                  <w:tcBorders>
                    <w:top w:val="nil"/>
                    <w:left w:val="nil"/>
                    <w:bottom w:val="nil"/>
                    <w:right w:val="nil"/>
                  </w:tcBorders>
                </w:tcPr>
                <w:p w14:paraId="74E730EA" w14:textId="77777777" w:rsidR="00051892" w:rsidRDefault="00051892" w:rsidP="00051892">
                  <w:pPr>
                    <w:rPr>
                      <w:rFonts w:ascii="Arial" w:hAnsi="Arial" w:cs="Arial"/>
                      <w:bCs/>
                      <w:sz w:val="18"/>
                      <w:szCs w:val="18"/>
                    </w:rPr>
                  </w:pPr>
                  <w:r>
                    <w:rPr>
                      <w:rFonts w:ascii="Arial" w:hAnsi="Arial" w:cs="Arial"/>
                      <w:bCs/>
                      <w:sz w:val="18"/>
                      <w:szCs w:val="18"/>
                    </w:rPr>
                    <w:t xml:space="preserve">1. </w:t>
                  </w:r>
                  <w:r w:rsidRPr="00597E60">
                    <w:rPr>
                      <w:rFonts w:ascii="Arial" w:hAnsi="Arial" w:cs="Arial"/>
                      <w:bCs/>
                      <w:sz w:val="18"/>
                      <w:szCs w:val="18"/>
                    </w:rPr>
                    <w:t>Εγκεκριμένη Μισθολογική Κλίμακα:</w:t>
                  </w:r>
                  <w:r>
                    <w:rPr>
                      <w:rFonts w:ascii="Arial" w:hAnsi="Arial" w:cs="Arial"/>
                      <w:bCs/>
                      <w:sz w:val="18"/>
                      <w:szCs w:val="18"/>
                    </w:rPr>
                    <w:t xml:space="preserve"> </w:t>
                  </w:r>
                </w:p>
              </w:tc>
            </w:tr>
            <w:tr w:rsidR="00051892" w:rsidRPr="00D41C46" w14:paraId="3D5501EA" w14:textId="77777777" w:rsidTr="00495276">
              <w:tc>
                <w:tcPr>
                  <w:tcW w:w="674" w:type="dxa"/>
                  <w:tcBorders>
                    <w:top w:val="nil"/>
                    <w:left w:val="nil"/>
                    <w:bottom w:val="nil"/>
                    <w:right w:val="nil"/>
                  </w:tcBorders>
                </w:tcPr>
                <w:p w14:paraId="66F45BB4" w14:textId="77777777" w:rsidR="00051892" w:rsidRDefault="00051892" w:rsidP="00051892">
                  <w:pPr>
                    <w:rPr>
                      <w:rFonts w:ascii="Arial" w:hAnsi="Arial" w:cs="Arial"/>
                      <w:bCs/>
                      <w:sz w:val="18"/>
                      <w:szCs w:val="18"/>
                    </w:rPr>
                  </w:pPr>
                </w:p>
              </w:tc>
              <w:tc>
                <w:tcPr>
                  <w:tcW w:w="8954" w:type="dxa"/>
                  <w:gridSpan w:val="2"/>
                  <w:tcBorders>
                    <w:top w:val="nil"/>
                    <w:left w:val="nil"/>
                    <w:bottom w:val="nil"/>
                    <w:right w:val="nil"/>
                  </w:tcBorders>
                </w:tcPr>
                <w:p w14:paraId="476EF2F0" w14:textId="77777777" w:rsidR="00051892" w:rsidRPr="00597E60" w:rsidRDefault="00051892" w:rsidP="00051892">
                  <w:pPr>
                    <w:rPr>
                      <w:rFonts w:ascii="Arial" w:hAnsi="Arial" w:cs="Arial"/>
                      <w:bCs/>
                      <w:sz w:val="18"/>
                      <w:szCs w:val="18"/>
                    </w:rPr>
                  </w:pPr>
                  <w:r w:rsidRPr="00597E60">
                    <w:rPr>
                      <w:rFonts w:ascii="Arial" w:hAnsi="Arial" w:cs="Arial"/>
                      <w:bCs/>
                      <w:sz w:val="18"/>
                      <w:szCs w:val="18"/>
                    </w:rPr>
                    <w:t xml:space="preserve">A5 </w:t>
                  </w:r>
                  <w:r w:rsidRPr="00597E60">
                    <w:rPr>
                      <w:rFonts w:ascii="Arial" w:hAnsi="Arial" w:cs="Arial"/>
                      <w:bCs/>
                      <w:sz w:val="18"/>
                      <w:szCs w:val="18"/>
                      <w:vertAlign w:val="superscript"/>
                    </w:rPr>
                    <w:t>(2η βαθμίδα)</w:t>
                  </w:r>
                  <w:r w:rsidRPr="00597E60">
                    <w:rPr>
                      <w:rFonts w:ascii="Arial" w:hAnsi="Arial" w:cs="Arial"/>
                      <w:bCs/>
                      <w:sz w:val="18"/>
                      <w:szCs w:val="18"/>
                    </w:rPr>
                    <w:t>: €16.826,17.455,18.168,19.139,20.110,21.081,22.052,23.023,23.994,24.965,25.936,26.907.</w:t>
                  </w:r>
                </w:p>
                <w:p w14:paraId="066AC645" w14:textId="77777777" w:rsidR="00051892" w:rsidRPr="00597E60" w:rsidRDefault="00051892" w:rsidP="00051892">
                  <w:pPr>
                    <w:ind w:right="-240"/>
                    <w:rPr>
                      <w:rFonts w:ascii="Arial" w:hAnsi="Arial" w:cs="Arial"/>
                      <w:bCs/>
                      <w:sz w:val="18"/>
                      <w:szCs w:val="18"/>
                    </w:rPr>
                  </w:pPr>
                  <w:r w:rsidRPr="00597E60">
                    <w:rPr>
                      <w:rFonts w:ascii="Arial" w:hAnsi="Arial" w:cs="Arial"/>
                      <w:bCs/>
                      <w:sz w:val="18"/>
                      <w:szCs w:val="18"/>
                    </w:rPr>
                    <w:t xml:space="preserve">Α7 </w:t>
                  </w:r>
                  <w:r w:rsidRPr="00597E60">
                    <w:rPr>
                      <w:rFonts w:ascii="Arial" w:hAnsi="Arial" w:cs="Arial"/>
                      <w:bCs/>
                      <w:sz w:val="18"/>
                      <w:szCs w:val="18"/>
                      <w:vertAlign w:val="superscript"/>
                    </w:rPr>
                    <w:t xml:space="preserve"> </w:t>
                  </w:r>
                  <w:r w:rsidRPr="00597E60">
                    <w:rPr>
                      <w:rFonts w:ascii="Arial" w:hAnsi="Arial" w:cs="Arial"/>
                      <w:bCs/>
                      <w:sz w:val="18"/>
                      <w:szCs w:val="18"/>
                    </w:rPr>
                    <w:t xml:space="preserve">:€22.648,23.780,24.912,26.044,27.176,28.308,29.440,30.572,31.704,32.836,33.968.      </w:t>
                  </w:r>
                </w:p>
                <w:p w14:paraId="41DC5927" w14:textId="2D29AA2B" w:rsidR="00051892" w:rsidRPr="00597E60" w:rsidRDefault="00051892" w:rsidP="00051892">
                  <w:pPr>
                    <w:rPr>
                      <w:rFonts w:ascii="Arial" w:hAnsi="Arial" w:cs="Arial"/>
                      <w:bCs/>
                      <w:sz w:val="18"/>
                      <w:szCs w:val="18"/>
                    </w:rPr>
                  </w:pPr>
                  <w:r w:rsidRPr="00597E60">
                    <w:rPr>
                      <w:rFonts w:ascii="Arial" w:hAnsi="Arial" w:cs="Arial"/>
                      <w:bCs/>
                      <w:sz w:val="18"/>
                      <w:szCs w:val="18"/>
                    </w:rPr>
                    <w:t xml:space="preserve">Α8 </w:t>
                  </w:r>
                  <w:r w:rsidRPr="00597E60">
                    <w:rPr>
                      <w:rFonts w:ascii="Arial" w:hAnsi="Arial" w:cs="Arial"/>
                      <w:bCs/>
                      <w:sz w:val="18"/>
                      <w:szCs w:val="18"/>
                      <w:vertAlign w:val="superscript"/>
                    </w:rPr>
                    <w:t>(Ι)</w:t>
                  </w:r>
                  <w:r w:rsidRPr="00597E60">
                    <w:rPr>
                      <w:rFonts w:ascii="Arial" w:hAnsi="Arial" w:cs="Arial"/>
                      <w:bCs/>
                      <w:sz w:val="18"/>
                      <w:szCs w:val="18"/>
                    </w:rPr>
                    <w:t>:€24.500,25.697,26.894,28.091,29.288,30.485,31.682,32.879,34.076,35.273,36.470,37.667,38.864.</w:t>
                  </w:r>
                </w:p>
              </w:tc>
            </w:tr>
            <w:tr w:rsidR="00051892" w14:paraId="3D8D66E1" w14:textId="77777777" w:rsidTr="00495276">
              <w:tc>
                <w:tcPr>
                  <w:tcW w:w="9628" w:type="dxa"/>
                  <w:gridSpan w:val="3"/>
                  <w:tcBorders>
                    <w:top w:val="nil"/>
                    <w:left w:val="nil"/>
                    <w:bottom w:val="nil"/>
                    <w:right w:val="nil"/>
                  </w:tcBorders>
                </w:tcPr>
                <w:p w14:paraId="01373232" w14:textId="77777777" w:rsidR="00051892" w:rsidRDefault="00051892" w:rsidP="00051892">
                  <w:pPr>
                    <w:rPr>
                      <w:rFonts w:ascii="Arial" w:hAnsi="Arial" w:cs="Arial"/>
                      <w:bCs/>
                      <w:sz w:val="18"/>
                      <w:szCs w:val="18"/>
                    </w:rPr>
                  </w:pPr>
                  <w:r>
                    <w:rPr>
                      <w:rFonts w:ascii="Arial" w:hAnsi="Arial" w:cs="Arial"/>
                      <w:bCs/>
                      <w:sz w:val="18"/>
                      <w:szCs w:val="18"/>
                    </w:rPr>
                    <w:t xml:space="preserve">2. </w:t>
                  </w:r>
                  <w:r w:rsidRPr="00597E60">
                    <w:rPr>
                      <w:rFonts w:ascii="Arial" w:hAnsi="Arial" w:cs="Arial"/>
                      <w:bCs/>
                      <w:sz w:val="18"/>
                      <w:szCs w:val="18"/>
                    </w:rPr>
                    <w:t>Καθήκοντα και ευθύνες:</w:t>
                  </w:r>
                </w:p>
              </w:tc>
            </w:tr>
            <w:tr w:rsidR="00051892" w:rsidRPr="00D41C46" w14:paraId="2222F06F" w14:textId="77777777" w:rsidTr="00495276">
              <w:tc>
                <w:tcPr>
                  <w:tcW w:w="674" w:type="dxa"/>
                  <w:tcBorders>
                    <w:top w:val="nil"/>
                    <w:left w:val="nil"/>
                    <w:bottom w:val="nil"/>
                    <w:right w:val="nil"/>
                  </w:tcBorders>
                </w:tcPr>
                <w:p w14:paraId="74B0A0D9" w14:textId="77777777" w:rsidR="00051892" w:rsidRPr="006D67E8" w:rsidRDefault="00051892" w:rsidP="00051892">
                  <w:pPr>
                    <w:jc w:val="right"/>
                    <w:rPr>
                      <w:rFonts w:ascii="Arial" w:hAnsi="Arial" w:cs="Arial"/>
                      <w:sz w:val="18"/>
                      <w:szCs w:val="18"/>
                    </w:rPr>
                  </w:pPr>
                  <w:r>
                    <w:rPr>
                      <w:rFonts w:ascii="Arial" w:hAnsi="Arial" w:cs="Arial"/>
                      <w:sz w:val="18"/>
                      <w:szCs w:val="18"/>
                    </w:rPr>
                    <w:t>2.1</w:t>
                  </w:r>
                </w:p>
              </w:tc>
              <w:tc>
                <w:tcPr>
                  <w:tcW w:w="8954" w:type="dxa"/>
                  <w:gridSpan w:val="2"/>
                  <w:tcBorders>
                    <w:top w:val="nil"/>
                    <w:left w:val="nil"/>
                    <w:bottom w:val="nil"/>
                    <w:right w:val="nil"/>
                  </w:tcBorders>
                </w:tcPr>
                <w:p w14:paraId="3717ABB4" w14:textId="77777777" w:rsidR="00051892" w:rsidRPr="006D67E8" w:rsidRDefault="00051892" w:rsidP="00051892">
                  <w:pPr>
                    <w:ind w:left="-17" w:firstLine="17"/>
                    <w:rPr>
                      <w:rFonts w:ascii="Arial" w:hAnsi="Arial" w:cs="Arial"/>
                      <w:sz w:val="18"/>
                      <w:szCs w:val="18"/>
                    </w:rPr>
                  </w:pPr>
                  <w:r w:rsidRPr="00597E60">
                    <w:rPr>
                      <w:rFonts w:ascii="Arial" w:hAnsi="Arial" w:cs="Arial"/>
                      <w:bCs/>
                      <w:sz w:val="18"/>
                      <w:szCs w:val="18"/>
                    </w:rPr>
                    <w:t>Βοηθά ή και αναλαμβάνει την εκτέλεση καθηκόντων σχετικά με:</w:t>
                  </w:r>
                </w:p>
              </w:tc>
            </w:tr>
            <w:tr w:rsidR="00051892" w:rsidRPr="00D41C46" w14:paraId="5C1D9D02" w14:textId="77777777" w:rsidTr="00495276">
              <w:tc>
                <w:tcPr>
                  <w:tcW w:w="674" w:type="dxa"/>
                  <w:tcBorders>
                    <w:top w:val="nil"/>
                    <w:left w:val="nil"/>
                    <w:bottom w:val="nil"/>
                    <w:right w:val="nil"/>
                  </w:tcBorders>
                </w:tcPr>
                <w:p w14:paraId="316E9636"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7A855ED2" w14:textId="77777777" w:rsidR="00051892" w:rsidRPr="006D67E8" w:rsidRDefault="00051892" w:rsidP="00051892">
                  <w:pPr>
                    <w:rPr>
                      <w:rFonts w:ascii="Arial" w:hAnsi="Arial" w:cs="Arial"/>
                      <w:sz w:val="18"/>
                      <w:szCs w:val="18"/>
                    </w:rPr>
                  </w:pPr>
                  <w:r w:rsidRPr="00597E60">
                    <w:rPr>
                      <w:rFonts w:ascii="Arial" w:hAnsi="Arial" w:cs="Arial"/>
                      <w:bCs/>
                      <w:sz w:val="18"/>
                      <w:szCs w:val="18"/>
                    </w:rPr>
                    <w:t xml:space="preserve">2.1.1  </w:t>
                  </w:r>
                </w:p>
              </w:tc>
              <w:tc>
                <w:tcPr>
                  <w:tcW w:w="8245" w:type="dxa"/>
                  <w:tcBorders>
                    <w:top w:val="nil"/>
                    <w:left w:val="nil"/>
                    <w:bottom w:val="nil"/>
                    <w:right w:val="nil"/>
                  </w:tcBorders>
                </w:tcPr>
                <w:p w14:paraId="699389E2" w14:textId="77777777" w:rsidR="00051892" w:rsidRPr="006D67E8" w:rsidRDefault="00051892" w:rsidP="00051892">
                  <w:pPr>
                    <w:rPr>
                      <w:rFonts w:ascii="Arial" w:hAnsi="Arial" w:cs="Arial"/>
                      <w:sz w:val="18"/>
                      <w:szCs w:val="18"/>
                    </w:rPr>
                  </w:pPr>
                  <w:r>
                    <w:rPr>
                      <w:rFonts w:ascii="Arial" w:hAnsi="Arial" w:cs="Arial"/>
                      <w:bCs/>
                      <w:sz w:val="18"/>
                      <w:szCs w:val="18"/>
                    </w:rPr>
                    <w:t>Τ</w:t>
                  </w:r>
                  <w:r w:rsidRPr="00597E60">
                    <w:rPr>
                      <w:rFonts w:ascii="Arial" w:hAnsi="Arial" w:cs="Arial"/>
                      <w:bCs/>
                      <w:sz w:val="18"/>
                      <w:szCs w:val="18"/>
                    </w:rPr>
                    <w:t>ον χειρισμό και έλεγχο αιτήσεων για</w:t>
                  </w:r>
                  <w:r w:rsidRPr="00561C9D">
                    <w:rPr>
                      <w:rFonts w:ascii="Arial" w:hAnsi="Arial" w:cs="Arial"/>
                      <w:sz w:val="18"/>
                      <w:szCs w:val="18"/>
                    </w:rPr>
                    <w:t xml:space="preserve"> άδειες ανάπτυξης που υποβάλλονται σύμφωνα με την ισχύουσα σχετική νομοθεσία, τη διεξαγωγή ερευνών και επισκοπήσεων, τη συλλογή, ταξινόμηση και καταχώρηση στοιχείων σχετιζόμενων με τον κλάδο του, την εφαρμογή ρυθμιστικών και άλλων σχεδίων και την εποπτεία και επιθεώρηση έργων για εφαρμογή του περί Πολεοδομίας και Χωροταξίας Νόμου, του περί Ρυθμίσεων Οδών και Οικοδομών Νόμου και Κανονισμών και των περί Πρατηρίων Πετρελαιοειδών Κανονισμών ή άλλης νομοθεσίας. </w:t>
                  </w:r>
                </w:p>
              </w:tc>
            </w:tr>
            <w:tr w:rsidR="00051892" w:rsidRPr="00D41C46" w14:paraId="75373840" w14:textId="77777777" w:rsidTr="00495276">
              <w:tc>
                <w:tcPr>
                  <w:tcW w:w="674" w:type="dxa"/>
                  <w:tcBorders>
                    <w:top w:val="nil"/>
                    <w:left w:val="nil"/>
                    <w:bottom w:val="nil"/>
                    <w:right w:val="nil"/>
                  </w:tcBorders>
                </w:tcPr>
                <w:p w14:paraId="771D43DE"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38C19C4D" w14:textId="77777777" w:rsidR="00051892" w:rsidRPr="006D67E8" w:rsidRDefault="00051892" w:rsidP="00051892">
                  <w:pPr>
                    <w:rPr>
                      <w:rFonts w:ascii="Arial" w:hAnsi="Arial" w:cs="Arial"/>
                      <w:sz w:val="18"/>
                      <w:szCs w:val="18"/>
                    </w:rPr>
                  </w:pPr>
                  <w:r w:rsidRPr="00561C9D">
                    <w:rPr>
                      <w:rFonts w:ascii="Arial" w:hAnsi="Arial" w:cs="Arial"/>
                      <w:sz w:val="18"/>
                      <w:szCs w:val="18"/>
                    </w:rPr>
                    <w:t xml:space="preserve">2.1.2  </w:t>
                  </w:r>
                </w:p>
              </w:tc>
              <w:tc>
                <w:tcPr>
                  <w:tcW w:w="8245" w:type="dxa"/>
                  <w:tcBorders>
                    <w:top w:val="nil"/>
                    <w:left w:val="nil"/>
                    <w:bottom w:val="nil"/>
                    <w:right w:val="nil"/>
                  </w:tcBorders>
                </w:tcPr>
                <w:p w14:paraId="76960B2A" w14:textId="77777777" w:rsidR="00051892" w:rsidRPr="006D67E8" w:rsidRDefault="00051892" w:rsidP="00051892">
                  <w:pPr>
                    <w:rPr>
                      <w:rFonts w:ascii="Arial" w:hAnsi="Arial" w:cs="Arial"/>
                      <w:sz w:val="18"/>
                      <w:szCs w:val="18"/>
                    </w:rPr>
                  </w:pPr>
                  <w:r>
                    <w:rPr>
                      <w:rFonts w:ascii="Arial" w:hAnsi="Arial" w:cs="Arial"/>
                      <w:sz w:val="18"/>
                      <w:szCs w:val="18"/>
                    </w:rPr>
                    <w:t>Τ</w:t>
                  </w:r>
                  <w:r w:rsidRPr="00561C9D">
                    <w:rPr>
                      <w:rFonts w:ascii="Arial" w:hAnsi="Arial" w:cs="Arial"/>
                      <w:sz w:val="18"/>
                      <w:szCs w:val="18"/>
                    </w:rPr>
                    <w:t xml:space="preserve">ην ετοιμασία σχεδίων οικοδομικών και τεχνικών έργων, χωροταξικών και ρυθμιστικών σχεδίων, σχεδίων διευρύνσεως δρόμων και άλλων σχετικών  σχεδίων, τη συλλογή, ταξινόμηση και καταχώρηση στοιχείων για νέα έργα, την </w:t>
                  </w:r>
                  <w:proofErr w:type="spellStart"/>
                  <w:r w:rsidRPr="00561C9D">
                    <w:rPr>
                      <w:rFonts w:ascii="Arial" w:hAnsi="Arial" w:cs="Arial"/>
                      <w:sz w:val="18"/>
                      <w:szCs w:val="18"/>
                    </w:rPr>
                    <w:t>τοπογράφηση</w:t>
                  </w:r>
                  <w:proofErr w:type="spellEnd"/>
                  <w:r w:rsidRPr="00561C9D">
                    <w:rPr>
                      <w:rFonts w:ascii="Arial" w:hAnsi="Arial" w:cs="Arial"/>
                      <w:sz w:val="18"/>
                      <w:szCs w:val="18"/>
                    </w:rPr>
                    <w:t xml:space="preserve"> και χωρομέτρηση, την ετοιμασία δελτίων ποσοτήτων και εκτιμήσεων δαπάνης, τη διαδικασία και την ετοιμασία εγγράφων για προσφορές και συμφωνίες  για τα διάφορα έργα, τη διαδικασία για δημοσιεύσεις  απαλλοτριώσεων κατασκευής δρόμων, πεζοδρομίων και οχετών, την τήρηση  και ενημέρωση αρχείου οικιών και σχεδίων του κλάδου και την εξέταση παραπόνων του κοινού σε θέματα που αφορούν τον κλάδο. </w:t>
                  </w:r>
                </w:p>
              </w:tc>
            </w:tr>
            <w:tr w:rsidR="00051892" w:rsidRPr="00D41C46" w14:paraId="4EC78E42" w14:textId="77777777" w:rsidTr="00495276">
              <w:tc>
                <w:tcPr>
                  <w:tcW w:w="674" w:type="dxa"/>
                  <w:tcBorders>
                    <w:top w:val="nil"/>
                    <w:left w:val="nil"/>
                    <w:bottom w:val="nil"/>
                    <w:right w:val="nil"/>
                  </w:tcBorders>
                </w:tcPr>
                <w:p w14:paraId="6275E1F7"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5F6A9E2A" w14:textId="77777777" w:rsidR="00051892" w:rsidRPr="006D67E8" w:rsidRDefault="00051892" w:rsidP="00051892">
                  <w:pPr>
                    <w:rPr>
                      <w:rFonts w:ascii="Arial" w:hAnsi="Arial" w:cs="Arial"/>
                      <w:sz w:val="18"/>
                      <w:szCs w:val="18"/>
                    </w:rPr>
                  </w:pPr>
                  <w:r>
                    <w:rPr>
                      <w:rFonts w:ascii="Arial" w:hAnsi="Arial" w:cs="Arial"/>
                      <w:sz w:val="18"/>
                      <w:szCs w:val="18"/>
                    </w:rPr>
                    <w:t>2.1.3</w:t>
                  </w:r>
                </w:p>
              </w:tc>
              <w:tc>
                <w:tcPr>
                  <w:tcW w:w="8245" w:type="dxa"/>
                  <w:tcBorders>
                    <w:top w:val="nil"/>
                    <w:left w:val="nil"/>
                    <w:bottom w:val="nil"/>
                    <w:right w:val="nil"/>
                  </w:tcBorders>
                </w:tcPr>
                <w:p w14:paraId="18429E82" w14:textId="77777777" w:rsidR="00051892" w:rsidRPr="006D67E8" w:rsidRDefault="00051892" w:rsidP="00051892">
                  <w:pPr>
                    <w:rPr>
                      <w:rFonts w:ascii="Arial" w:hAnsi="Arial" w:cs="Arial"/>
                      <w:sz w:val="18"/>
                      <w:szCs w:val="18"/>
                    </w:rPr>
                  </w:pPr>
                  <w:r>
                    <w:rPr>
                      <w:rFonts w:ascii="Arial" w:hAnsi="Arial" w:cs="Arial"/>
                      <w:sz w:val="18"/>
                      <w:szCs w:val="18"/>
                    </w:rPr>
                    <w:t>Τ</w:t>
                  </w:r>
                  <w:r w:rsidRPr="00561C9D">
                    <w:rPr>
                      <w:rFonts w:ascii="Arial" w:hAnsi="Arial" w:cs="Arial"/>
                      <w:sz w:val="18"/>
                      <w:szCs w:val="18"/>
                    </w:rPr>
                    <w:t xml:space="preserve">ην οργάνωση, επίβλεψη και έλεγχο εκτελουμένων έργων Πολιτικής Μηχανικής ή Αρχιτεκτονικής, περιλαμβανομένων και έργων εκτελουμένων με σύμβαση, τη σήμανση δρόμων, την περιγραφή και καταμέτρηση οικοδομικών, οδικών και άλλων εργασιών, την ετοιμασία δελτίων ποσοτήτων και εκθέσεων προόδου διαφόρων τεχνικών έργων, τον καταμερισμό, επόπτευση, καθοδήγηση και έλεγχο κατώτερου προσωπικού, την οργάνωση και επίβλεψη  των οικοδομικών και τεχνικών εργασιών στο χώρο απόρριψης  σκυβάλων, τη διαδικασία κατεδαφίσεων </w:t>
                  </w:r>
                  <w:proofErr w:type="spellStart"/>
                  <w:r w:rsidRPr="00561C9D">
                    <w:rPr>
                      <w:rFonts w:ascii="Arial" w:hAnsi="Arial" w:cs="Arial"/>
                      <w:sz w:val="18"/>
                      <w:szCs w:val="18"/>
                    </w:rPr>
                    <w:t>κηρυσσομένων</w:t>
                  </w:r>
                  <w:proofErr w:type="spellEnd"/>
                  <w:r w:rsidRPr="00561C9D">
                    <w:rPr>
                      <w:rFonts w:ascii="Arial" w:hAnsi="Arial" w:cs="Arial"/>
                      <w:sz w:val="18"/>
                      <w:szCs w:val="18"/>
                    </w:rPr>
                    <w:t xml:space="preserve"> από το Δημοτικό Συμβούλιο ετοιμόρροπων οικοδομών. </w:t>
                  </w:r>
                </w:p>
              </w:tc>
            </w:tr>
            <w:tr w:rsidR="00051892" w:rsidRPr="00D41C46" w14:paraId="5490C811" w14:textId="77777777" w:rsidTr="00495276">
              <w:tc>
                <w:tcPr>
                  <w:tcW w:w="674" w:type="dxa"/>
                  <w:tcBorders>
                    <w:top w:val="nil"/>
                    <w:left w:val="nil"/>
                    <w:bottom w:val="nil"/>
                    <w:right w:val="nil"/>
                  </w:tcBorders>
                </w:tcPr>
                <w:p w14:paraId="58A95A2F"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73F59F9A" w14:textId="77777777" w:rsidR="00051892" w:rsidRPr="006D67E8" w:rsidRDefault="00051892" w:rsidP="00051892">
                  <w:pPr>
                    <w:spacing w:before="100" w:beforeAutospacing="1"/>
                    <w:rPr>
                      <w:rFonts w:ascii="Arial" w:hAnsi="Arial" w:cs="Arial"/>
                      <w:sz w:val="18"/>
                      <w:szCs w:val="18"/>
                    </w:rPr>
                  </w:pPr>
                  <w:r>
                    <w:rPr>
                      <w:rFonts w:ascii="Arial" w:hAnsi="Arial" w:cs="Arial"/>
                      <w:sz w:val="18"/>
                      <w:szCs w:val="18"/>
                    </w:rPr>
                    <w:t>2.1.4</w:t>
                  </w:r>
                </w:p>
              </w:tc>
              <w:tc>
                <w:tcPr>
                  <w:tcW w:w="8245" w:type="dxa"/>
                  <w:tcBorders>
                    <w:top w:val="nil"/>
                    <w:left w:val="nil"/>
                    <w:bottom w:val="nil"/>
                    <w:right w:val="nil"/>
                  </w:tcBorders>
                </w:tcPr>
                <w:p w14:paraId="30F8D1AE" w14:textId="77777777" w:rsidR="00051892" w:rsidRPr="006D67E8" w:rsidRDefault="00051892" w:rsidP="00051892">
                  <w:pPr>
                    <w:rPr>
                      <w:rFonts w:ascii="Arial" w:hAnsi="Arial" w:cs="Arial"/>
                      <w:sz w:val="18"/>
                      <w:szCs w:val="18"/>
                    </w:rPr>
                  </w:pPr>
                  <w:r>
                    <w:rPr>
                      <w:rFonts w:ascii="Arial" w:hAnsi="Arial" w:cs="Arial"/>
                      <w:sz w:val="18"/>
                      <w:szCs w:val="18"/>
                    </w:rPr>
                    <w:t>Τ</w:t>
                  </w:r>
                  <w:r w:rsidRPr="00561C9D">
                    <w:rPr>
                      <w:rFonts w:ascii="Arial" w:hAnsi="Arial" w:cs="Arial"/>
                      <w:sz w:val="18"/>
                      <w:szCs w:val="18"/>
                    </w:rPr>
                    <w:t>ην ετοιμασία σχεδίων, χάραξη έργων, κατάρτιση τεχνικών όρων, ετοιμασία προσμετρήσεων, δελτίων ποσοτήτων και εκτιμήσεων, ετοιμασία και υποβολή τεχνικών εκθέσεων.</w:t>
                  </w:r>
                </w:p>
              </w:tc>
            </w:tr>
            <w:tr w:rsidR="00051892" w:rsidRPr="00D41C46" w14:paraId="3BA7A5C1" w14:textId="77777777" w:rsidTr="00495276">
              <w:tc>
                <w:tcPr>
                  <w:tcW w:w="674" w:type="dxa"/>
                  <w:tcBorders>
                    <w:top w:val="nil"/>
                    <w:left w:val="nil"/>
                    <w:bottom w:val="nil"/>
                    <w:right w:val="nil"/>
                  </w:tcBorders>
                </w:tcPr>
                <w:p w14:paraId="5158156F"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3B3B1453" w14:textId="77777777" w:rsidR="00051892" w:rsidRPr="006D67E8" w:rsidRDefault="00051892" w:rsidP="00051892">
                  <w:pPr>
                    <w:ind w:left="480" w:hanging="480"/>
                    <w:rPr>
                      <w:rFonts w:ascii="Arial" w:hAnsi="Arial" w:cs="Arial"/>
                      <w:sz w:val="18"/>
                      <w:szCs w:val="18"/>
                    </w:rPr>
                  </w:pPr>
                  <w:r>
                    <w:rPr>
                      <w:rFonts w:ascii="Arial" w:hAnsi="Arial" w:cs="Arial"/>
                      <w:sz w:val="18"/>
                      <w:szCs w:val="18"/>
                    </w:rPr>
                    <w:t>2.1.5</w:t>
                  </w:r>
                </w:p>
              </w:tc>
              <w:tc>
                <w:tcPr>
                  <w:tcW w:w="8245" w:type="dxa"/>
                  <w:tcBorders>
                    <w:top w:val="nil"/>
                    <w:left w:val="nil"/>
                    <w:bottom w:val="nil"/>
                    <w:right w:val="nil"/>
                  </w:tcBorders>
                </w:tcPr>
                <w:p w14:paraId="64877530" w14:textId="77777777" w:rsidR="00051892" w:rsidRPr="006D67E8" w:rsidRDefault="00051892" w:rsidP="00051892">
                  <w:pPr>
                    <w:rPr>
                      <w:rFonts w:ascii="Arial" w:hAnsi="Arial" w:cs="Arial"/>
                      <w:sz w:val="18"/>
                      <w:szCs w:val="18"/>
                    </w:rPr>
                  </w:pPr>
                  <w:r>
                    <w:rPr>
                      <w:rFonts w:ascii="Arial" w:hAnsi="Arial" w:cs="Arial"/>
                      <w:sz w:val="18"/>
                      <w:szCs w:val="18"/>
                    </w:rPr>
                    <w:t>Τ</w:t>
                  </w:r>
                  <w:r w:rsidRPr="00561C9D">
                    <w:rPr>
                      <w:rFonts w:ascii="Arial" w:hAnsi="Arial" w:cs="Arial"/>
                      <w:sz w:val="18"/>
                      <w:szCs w:val="18"/>
                    </w:rPr>
                    <w:t xml:space="preserve">ην εφαρμογή της σχετικής με τα καθήκοντα του νομοθεσίας και κανονισμών και την επίβλεψη της εκτέλεσης και έλεγχο έργων της αρμοδιότητας του.  </w:t>
                  </w:r>
                </w:p>
              </w:tc>
            </w:tr>
            <w:tr w:rsidR="00051892" w:rsidRPr="00D41C46" w14:paraId="5F8C6F1F" w14:textId="77777777" w:rsidTr="00495276">
              <w:tc>
                <w:tcPr>
                  <w:tcW w:w="674" w:type="dxa"/>
                  <w:tcBorders>
                    <w:top w:val="nil"/>
                    <w:left w:val="nil"/>
                    <w:bottom w:val="nil"/>
                    <w:right w:val="nil"/>
                  </w:tcBorders>
                </w:tcPr>
                <w:p w14:paraId="298EA57F"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606FBE72" w14:textId="77777777" w:rsidR="00051892" w:rsidRPr="006D67E8" w:rsidRDefault="00051892" w:rsidP="00051892">
                  <w:pPr>
                    <w:tabs>
                      <w:tab w:val="num" w:pos="360"/>
                    </w:tabs>
                    <w:rPr>
                      <w:rFonts w:ascii="Arial" w:hAnsi="Arial" w:cs="Arial"/>
                      <w:sz w:val="18"/>
                      <w:szCs w:val="18"/>
                    </w:rPr>
                  </w:pPr>
                  <w:r>
                    <w:rPr>
                      <w:rFonts w:ascii="Arial" w:hAnsi="Arial" w:cs="Arial"/>
                      <w:sz w:val="18"/>
                      <w:szCs w:val="18"/>
                    </w:rPr>
                    <w:t>2.1.6</w:t>
                  </w:r>
                </w:p>
              </w:tc>
              <w:tc>
                <w:tcPr>
                  <w:tcW w:w="8245" w:type="dxa"/>
                  <w:tcBorders>
                    <w:top w:val="nil"/>
                    <w:left w:val="nil"/>
                    <w:bottom w:val="nil"/>
                    <w:right w:val="nil"/>
                  </w:tcBorders>
                </w:tcPr>
                <w:p w14:paraId="39E9F5EE" w14:textId="77777777" w:rsidR="00051892" w:rsidRPr="006D67E8" w:rsidRDefault="00051892" w:rsidP="00051892">
                  <w:pPr>
                    <w:rPr>
                      <w:rFonts w:ascii="Arial" w:hAnsi="Arial" w:cs="Arial"/>
                      <w:sz w:val="18"/>
                      <w:szCs w:val="18"/>
                    </w:rPr>
                  </w:pPr>
                  <w:r w:rsidRPr="00C56F84">
                    <w:rPr>
                      <w:rFonts w:ascii="Arial" w:hAnsi="Arial" w:cs="Arial"/>
                      <w:sz w:val="18"/>
                      <w:szCs w:val="18"/>
                    </w:rPr>
                    <w:t xml:space="preserve">Σε περίπτωση όπου η αρμοδιότητα της </w:t>
                  </w:r>
                  <w:proofErr w:type="spellStart"/>
                  <w:r w:rsidRPr="00C56F84">
                    <w:rPr>
                      <w:rFonts w:ascii="Arial" w:hAnsi="Arial" w:cs="Arial"/>
                      <w:sz w:val="18"/>
                      <w:szCs w:val="18"/>
                    </w:rPr>
                    <w:t>υδατοπρομήθειας</w:t>
                  </w:r>
                  <w:proofErr w:type="spellEnd"/>
                  <w:r w:rsidRPr="00C56F84">
                    <w:rPr>
                      <w:rFonts w:ascii="Arial" w:hAnsi="Arial" w:cs="Arial"/>
                      <w:sz w:val="18"/>
                      <w:szCs w:val="18"/>
                    </w:rPr>
                    <w:t xml:space="preserve"> ανήκει στο Δήμο, εκτελεί καθήκοντα που αφορούν την απρόσκοπτη παροχή νερού και ελέγχει και καθοδηγεί προς αυτό το σκοπό κατώτερο προσωπικό. </w:t>
                  </w:r>
                </w:p>
              </w:tc>
            </w:tr>
            <w:tr w:rsidR="00051892" w:rsidRPr="00D41C46" w14:paraId="75708CFB" w14:textId="77777777" w:rsidTr="00495276">
              <w:tc>
                <w:tcPr>
                  <w:tcW w:w="674" w:type="dxa"/>
                  <w:tcBorders>
                    <w:top w:val="nil"/>
                    <w:left w:val="nil"/>
                    <w:bottom w:val="nil"/>
                    <w:right w:val="nil"/>
                  </w:tcBorders>
                </w:tcPr>
                <w:p w14:paraId="298FD2ED" w14:textId="77777777" w:rsidR="00051892" w:rsidRPr="006D67E8" w:rsidRDefault="00051892" w:rsidP="00051892">
                  <w:pPr>
                    <w:spacing w:after="60"/>
                    <w:rPr>
                      <w:rFonts w:ascii="Arial" w:hAnsi="Arial" w:cs="Arial"/>
                      <w:sz w:val="18"/>
                      <w:szCs w:val="18"/>
                    </w:rPr>
                  </w:pPr>
                </w:p>
              </w:tc>
              <w:tc>
                <w:tcPr>
                  <w:tcW w:w="709" w:type="dxa"/>
                  <w:tcBorders>
                    <w:top w:val="nil"/>
                    <w:left w:val="nil"/>
                    <w:bottom w:val="nil"/>
                    <w:right w:val="nil"/>
                  </w:tcBorders>
                </w:tcPr>
                <w:p w14:paraId="0D9B9FB3" w14:textId="77777777" w:rsidR="00051892" w:rsidRPr="006D67E8" w:rsidRDefault="00051892" w:rsidP="00051892">
                  <w:pPr>
                    <w:tabs>
                      <w:tab w:val="num" w:pos="360"/>
                    </w:tabs>
                    <w:rPr>
                      <w:rFonts w:ascii="Arial" w:hAnsi="Arial" w:cs="Arial"/>
                      <w:sz w:val="18"/>
                      <w:szCs w:val="18"/>
                    </w:rPr>
                  </w:pPr>
                  <w:r>
                    <w:rPr>
                      <w:rFonts w:ascii="Arial" w:hAnsi="Arial" w:cs="Arial"/>
                      <w:sz w:val="18"/>
                      <w:szCs w:val="18"/>
                    </w:rPr>
                    <w:t xml:space="preserve">2.1.7. </w:t>
                  </w:r>
                  <w:r w:rsidRPr="00561C9D">
                    <w:rPr>
                      <w:rFonts w:ascii="Arial" w:hAnsi="Arial" w:cs="Arial"/>
                      <w:sz w:val="18"/>
                      <w:szCs w:val="18"/>
                    </w:rPr>
                    <w:t xml:space="preserve"> </w:t>
                  </w:r>
                </w:p>
              </w:tc>
              <w:tc>
                <w:tcPr>
                  <w:tcW w:w="8245" w:type="dxa"/>
                  <w:tcBorders>
                    <w:top w:val="nil"/>
                    <w:left w:val="nil"/>
                    <w:bottom w:val="nil"/>
                    <w:right w:val="nil"/>
                  </w:tcBorders>
                </w:tcPr>
                <w:p w14:paraId="264A4216" w14:textId="77777777" w:rsidR="00051892" w:rsidRDefault="00051892" w:rsidP="00051892">
                  <w:pPr>
                    <w:rPr>
                      <w:rFonts w:ascii="Arial" w:hAnsi="Arial" w:cs="Arial"/>
                      <w:sz w:val="18"/>
                      <w:szCs w:val="18"/>
                    </w:rPr>
                  </w:pPr>
                  <w:r>
                    <w:rPr>
                      <w:rFonts w:ascii="Arial" w:hAnsi="Arial" w:cs="Arial"/>
                      <w:sz w:val="18"/>
                      <w:szCs w:val="18"/>
                    </w:rPr>
                    <w:t>Τ</w:t>
                  </w:r>
                  <w:r w:rsidRPr="00561C9D">
                    <w:rPr>
                      <w:rFonts w:ascii="Arial" w:hAnsi="Arial" w:cs="Arial"/>
                      <w:sz w:val="18"/>
                      <w:szCs w:val="18"/>
                    </w:rPr>
                    <w:t>ην εφαρμογή των αποφάσεων, της πολιτικής και των σχεδίων του δήμου για    τη δημιουργία /</w:t>
                  </w:r>
                  <w:r>
                    <w:rPr>
                      <w:rFonts w:ascii="Arial" w:hAnsi="Arial" w:cs="Arial"/>
                      <w:sz w:val="18"/>
                      <w:szCs w:val="18"/>
                    </w:rPr>
                    <w:t xml:space="preserve"> </w:t>
                  </w:r>
                </w:p>
                <w:p w14:paraId="09D61858" w14:textId="77777777" w:rsidR="00051892" w:rsidRPr="006D67E8" w:rsidRDefault="00051892" w:rsidP="00051892">
                  <w:pPr>
                    <w:rPr>
                      <w:rFonts w:ascii="Arial" w:hAnsi="Arial" w:cs="Arial"/>
                      <w:sz w:val="18"/>
                      <w:szCs w:val="18"/>
                    </w:rPr>
                  </w:pPr>
                  <w:r w:rsidRPr="00561C9D">
                    <w:rPr>
                      <w:rFonts w:ascii="Arial" w:hAnsi="Arial" w:cs="Arial"/>
                      <w:sz w:val="18"/>
                      <w:szCs w:val="18"/>
                    </w:rPr>
                    <w:t>επέκταση πάρκων, κήπων και πρασίνου γενικά.</w:t>
                  </w:r>
                </w:p>
              </w:tc>
            </w:tr>
            <w:tr w:rsidR="00051892" w:rsidRPr="00D41C46" w14:paraId="1541BDA4" w14:textId="77777777" w:rsidTr="00495276">
              <w:tc>
                <w:tcPr>
                  <w:tcW w:w="674" w:type="dxa"/>
                  <w:tcBorders>
                    <w:top w:val="nil"/>
                    <w:left w:val="nil"/>
                    <w:bottom w:val="nil"/>
                    <w:right w:val="nil"/>
                  </w:tcBorders>
                </w:tcPr>
                <w:p w14:paraId="79DD6F0B" w14:textId="77777777" w:rsidR="00051892" w:rsidRPr="006D67E8" w:rsidRDefault="00051892" w:rsidP="00051892">
                  <w:pPr>
                    <w:spacing w:after="60"/>
                    <w:jc w:val="right"/>
                    <w:rPr>
                      <w:rFonts w:ascii="Arial" w:hAnsi="Arial" w:cs="Arial"/>
                      <w:sz w:val="18"/>
                      <w:szCs w:val="18"/>
                    </w:rPr>
                  </w:pPr>
                  <w:r w:rsidRPr="00561C9D">
                    <w:rPr>
                      <w:rFonts w:ascii="Arial" w:hAnsi="Arial" w:cs="Arial"/>
                      <w:sz w:val="18"/>
                      <w:szCs w:val="18"/>
                    </w:rPr>
                    <w:t xml:space="preserve">2.2  </w:t>
                  </w:r>
                </w:p>
              </w:tc>
              <w:tc>
                <w:tcPr>
                  <w:tcW w:w="8954" w:type="dxa"/>
                  <w:gridSpan w:val="2"/>
                  <w:tcBorders>
                    <w:top w:val="nil"/>
                    <w:left w:val="nil"/>
                    <w:bottom w:val="nil"/>
                    <w:right w:val="nil"/>
                  </w:tcBorders>
                </w:tcPr>
                <w:p w14:paraId="3EF9EE8F" w14:textId="77777777" w:rsidR="00051892" w:rsidRPr="006D67E8" w:rsidRDefault="00051892" w:rsidP="00051892">
                  <w:pPr>
                    <w:rPr>
                      <w:rFonts w:ascii="Arial" w:hAnsi="Arial" w:cs="Arial"/>
                      <w:sz w:val="18"/>
                      <w:szCs w:val="18"/>
                    </w:rPr>
                  </w:pPr>
                  <w:r w:rsidRPr="00561C9D">
                    <w:rPr>
                      <w:rFonts w:ascii="Arial" w:hAnsi="Arial" w:cs="Arial"/>
                      <w:sz w:val="18"/>
                      <w:szCs w:val="18"/>
                    </w:rPr>
                    <w:t>Βοηθά στη</w:t>
                  </w:r>
                  <w:r>
                    <w:rPr>
                      <w:rFonts w:ascii="Arial" w:hAnsi="Arial" w:cs="Arial"/>
                      <w:sz w:val="18"/>
                      <w:szCs w:val="18"/>
                    </w:rPr>
                    <w:t>ν</w:t>
                  </w:r>
                  <w:r w:rsidRPr="00561C9D">
                    <w:rPr>
                      <w:rFonts w:ascii="Arial" w:hAnsi="Arial" w:cs="Arial"/>
                      <w:sz w:val="18"/>
                      <w:szCs w:val="18"/>
                    </w:rPr>
                    <w:t xml:space="preserve"> τήρηση  ή και τηρεί πρακτικά Δημοτικών Επιτροπών και υπηρεσιακών συσκέψεων, διεξάγει  τη σχετική με τα καθήκοντα του αλληλογραφία και προωθεί και διεκπεραιώνει τις αποφάσεις που λαμβάνονται</w:t>
                  </w:r>
                  <w:r>
                    <w:rPr>
                      <w:rFonts w:ascii="Arial" w:hAnsi="Arial" w:cs="Arial"/>
                      <w:sz w:val="18"/>
                      <w:szCs w:val="18"/>
                    </w:rPr>
                    <w:t>.</w:t>
                  </w:r>
                </w:p>
              </w:tc>
            </w:tr>
            <w:tr w:rsidR="00051892" w:rsidRPr="00D41C46" w14:paraId="7BA12023" w14:textId="77777777" w:rsidTr="00495276">
              <w:tc>
                <w:tcPr>
                  <w:tcW w:w="674" w:type="dxa"/>
                  <w:tcBorders>
                    <w:top w:val="nil"/>
                    <w:left w:val="nil"/>
                    <w:bottom w:val="nil"/>
                    <w:right w:val="nil"/>
                  </w:tcBorders>
                </w:tcPr>
                <w:p w14:paraId="16150051" w14:textId="77777777" w:rsidR="00051892" w:rsidRPr="00561C9D" w:rsidRDefault="00051892" w:rsidP="00051892">
                  <w:pPr>
                    <w:jc w:val="right"/>
                    <w:rPr>
                      <w:rFonts w:ascii="Arial" w:hAnsi="Arial" w:cs="Arial"/>
                      <w:sz w:val="18"/>
                      <w:szCs w:val="18"/>
                    </w:rPr>
                  </w:pPr>
                  <w:r w:rsidRPr="00561C9D">
                    <w:rPr>
                      <w:rFonts w:ascii="Arial" w:hAnsi="Arial" w:cs="Arial"/>
                      <w:sz w:val="18"/>
                      <w:szCs w:val="18"/>
                    </w:rPr>
                    <w:t xml:space="preserve">2.3  </w:t>
                  </w:r>
                </w:p>
              </w:tc>
              <w:tc>
                <w:tcPr>
                  <w:tcW w:w="8954" w:type="dxa"/>
                  <w:gridSpan w:val="2"/>
                  <w:tcBorders>
                    <w:top w:val="nil"/>
                    <w:left w:val="nil"/>
                    <w:bottom w:val="nil"/>
                    <w:right w:val="nil"/>
                  </w:tcBorders>
                </w:tcPr>
                <w:p w14:paraId="3EB9DEB2" w14:textId="77777777" w:rsidR="00051892" w:rsidRPr="00561C9D" w:rsidRDefault="00051892" w:rsidP="00051892">
                  <w:pPr>
                    <w:rPr>
                      <w:rFonts w:ascii="Arial" w:hAnsi="Arial" w:cs="Arial"/>
                      <w:sz w:val="18"/>
                      <w:szCs w:val="18"/>
                    </w:rPr>
                  </w:pPr>
                  <w:r w:rsidRPr="00561C9D">
                    <w:rPr>
                      <w:rFonts w:ascii="Arial" w:hAnsi="Arial" w:cs="Arial"/>
                      <w:sz w:val="18"/>
                      <w:szCs w:val="18"/>
                    </w:rPr>
                    <w:t>Συλλέγει και ταξινομεί στοιχεία και υποβάλλει εισηγήσεις προς το Προϊστάμενο του.</w:t>
                  </w:r>
                </w:p>
              </w:tc>
            </w:tr>
            <w:tr w:rsidR="00051892" w:rsidRPr="00D41C46" w14:paraId="453E109C" w14:textId="77777777" w:rsidTr="00495276">
              <w:tc>
                <w:tcPr>
                  <w:tcW w:w="674" w:type="dxa"/>
                  <w:tcBorders>
                    <w:top w:val="nil"/>
                    <w:left w:val="nil"/>
                    <w:bottom w:val="nil"/>
                    <w:right w:val="nil"/>
                  </w:tcBorders>
                </w:tcPr>
                <w:p w14:paraId="6F5AD7DF" w14:textId="77777777" w:rsidR="00051892" w:rsidRPr="006D67E8" w:rsidRDefault="00051892" w:rsidP="00051892">
                  <w:pPr>
                    <w:spacing w:after="60"/>
                    <w:jc w:val="right"/>
                    <w:rPr>
                      <w:rFonts w:ascii="Arial" w:hAnsi="Arial" w:cs="Arial"/>
                      <w:sz w:val="18"/>
                      <w:szCs w:val="18"/>
                    </w:rPr>
                  </w:pPr>
                  <w:r w:rsidRPr="00561C9D">
                    <w:rPr>
                      <w:rFonts w:ascii="Arial" w:hAnsi="Arial" w:cs="Arial"/>
                      <w:sz w:val="18"/>
                      <w:szCs w:val="18"/>
                    </w:rPr>
                    <w:t xml:space="preserve">2.4  </w:t>
                  </w:r>
                </w:p>
              </w:tc>
              <w:tc>
                <w:tcPr>
                  <w:tcW w:w="8954" w:type="dxa"/>
                  <w:gridSpan w:val="2"/>
                  <w:tcBorders>
                    <w:top w:val="nil"/>
                    <w:left w:val="nil"/>
                    <w:bottom w:val="nil"/>
                    <w:right w:val="nil"/>
                  </w:tcBorders>
                </w:tcPr>
                <w:p w14:paraId="0B187B47" w14:textId="77777777" w:rsidR="00051892" w:rsidRPr="006D67E8" w:rsidRDefault="00051892" w:rsidP="00051892">
                  <w:pPr>
                    <w:rPr>
                      <w:rFonts w:ascii="Arial" w:hAnsi="Arial" w:cs="Arial"/>
                      <w:sz w:val="18"/>
                      <w:szCs w:val="18"/>
                    </w:rPr>
                  </w:pPr>
                  <w:r w:rsidRPr="00561C9D">
                    <w:rPr>
                      <w:rFonts w:ascii="Arial" w:hAnsi="Arial" w:cs="Arial"/>
                      <w:sz w:val="18"/>
                      <w:szCs w:val="18"/>
                    </w:rPr>
                    <w:t>Επιβλέπει όλες τις εργασίες του κλάδου και κατώτερο εργατικό προσωπικό και επιλαμβάνεται παραπόνων σε</w:t>
                  </w:r>
                  <w:r>
                    <w:rPr>
                      <w:rFonts w:ascii="Arial" w:hAnsi="Arial" w:cs="Arial"/>
                      <w:sz w:val="18"/>
                      <w:szCs w:val="18"/>
                    </w:rPr>
                    <w:t xml:space="preserve"> </w:t>
                  </w:r>
                  <w:r w:rsidRPr="00561C9D">
                    <w:rPr>
                      <w:rFonts w:ascii="Arial" w:hAnsi="Arial" w:cs="Arial"/>
                      <w:sz w:val="18"/>
                      <w:szCs w:val="18"/>
                    </w:rPr>
                    <w:t>θέματα που αφορούν το</w:t>
                  </w:r>
                  <w:r>
                    <w:rPr>
                      <w:rFonts w:ascii="Arial" w:hAnsi="Arial" w:cs="Arial"/>
                      <w:sz w:val="18"/>
                      <w:szCs w:val="18"/>
                    </w:rPr>
                    <w:t>ν</w:t>
                  </w:r>
                  <w:r w:rsidRPr="00561C9D">
                    <w:rPr>
                      <w:rFonts w:ascii="Arial" w:hAnsi="Arial" w:cs="Arial"/>
                      <w:sz w:val="18"/>
                      <w:szCs w:val="18"/>
                    </w:rPr>
                    <w:t xml:space="preserve"> κλάδο.</w:t>
                  </w:r>
                </w:p>
              </w:tc>
            </w:tr>
            <w:tr w:rsidR="00051892" w:rsidRPr="00D41C46" w14:paraId="534B7F01" w14:textId="77777777" w:rsidTr="00495276">
              <w:tc>
                <w:tcPr>
                  <w:tcW w:w="674" w:type="dxa"/>
                  <w:tcBorders>
                    <w:top w:val="nil"/>
                    <w:left w:val="nil"/>
                    <w:bottom w:val="nil"/>
                    <w:right w:val="nil"/>
                  </w:tcBorders>
                </w:tcPr>
                <w:p w14:paraId="791004E3" w14:textId="77777777" w:rsidR="00051892" w:rsidRPr="006D67E8" w:rsidRDefault="00051892" w:rsidP="00051892">
                  <w:pPr>
                    <w:spacing w:after="60"/>
                    <w:jc w:val="right"/>
                    <w:rPr>
                      <w:rFonts w:ascii="Arial" w:hAnsi="Arial" w:cs="Arial"/>
                      <w:sz w:val="18"/>
                      <w:szCs w:val="18"/>
                    </w:rPr>
                  </w:pPr>
                  <w:r w:rsidRPr="00561C9D">
                    <w:rPr>
                      <w:rFonts w:ascii="Arial" w:hAnsi="Arial" w:cs="Arial"/>
                      <w:sz w:val="18"/>
                      <w:szCs w:val="18"/>
                    </w:rPr>
                    <w:t xml:space="preserve">2.5  </w:t>
                  </w:r>
                </w:p>
              </w:tc>
              <w:tc>
                <w:tcPr>
                  <w:tcW w:w="8954" w:type="dxa"/>
                  <w:gridSpan w:val="2"/>
                  <w:tcBorders>
                    <w:top w:val="nil"/>
                    <w:left w:val="nil"/>
                    <w:bottom w:val="nil"/>
                    <w:right w:val="nil"/>
                  </w:tcBorders>
                </w:tcPr>
                <w:p w14:paraId="76987EF5" w14:textId="77777777" w:rsidR="00051892" w:rsidRPr="006D67E8" w:rsidRDefault="00051892" w:rsidP="00051892">
                  <w:pPr>
                    <w:rPr>
                      <w:rFonts w:ascii="Arial" w:hAnsi="Arial" w:cs="Arial"/>
                      <w:sz w:val="18"/>
                      <w:szCs w:val="18"/>
                    </w:rPr>
                  </w:pPr>
                  <w:r w:rsidRPr="00561C9D">
                    <w:rPr>
                      <w:rFonts w:ascii="Arial" w:hAnsi="Arial" w:cs="Arial"/>
                      <w:sz w:val="18"/>
                      <w:szCs w:val="18"/>
                    </w:rPr>
                    <w:t>Εφόσον του ανατεθεί εκτελεί καθήκοντα Λειτουργού Ασφάλειας και Υγείας στην εργασία όπως προβλέπεται</w:t>
                  </w:r>
                  <w:r>
                    <w:rPr>
                      <w:rFonts w:ascii="Arial" w:hAnsi="Arial" w:cs="Arial"/>
                      <w:sz w:val="18"/>
                      <w:szCs w:val="18"/>
                    </w:rPr>
                    <w:t xml:space="preserve"> </w:t>
                  </w:r>
                  <w:r w:rsidRPr="00561C9D">
                    <w:rPr>
                      <w:rFonts w:ascii="Arial" w:hAnsi="Arial" w:cs="Arial"/>
                      <w:sz w:val="18"/>
                      <w:szCs w:val="18"/>
                    </w:rPr>
                    <w:t>στο σχετικό Νόμο και τους Κανονισμούς</w:t>
                  </w:r>
                  <w:r>
                    <w:rPr>
                      <w:rFonts w:ascii="Arial" w:hAnsi="Arial" w:cs="Arial"/>
                      <w:sz w:val="18"/>
                      <w:szCs w:val="18"/>
                    </w:rPr>
                    <w:t>.</w:t>
                  </w:r>
                </w:p>
              </w:tc>
            </w:tr>
            <w:tr w:rsidR="00051892" w:rsidRPr="00D41C46" w14:paraId="5C950464" w14:textId="77777777" w:rsidTr="00495276">
              <w:tc>
                <w:tcPr>
                  <w:tcW w:w="674" w:type="dxa"/>
                  <w:tcBorders>
                    <w:top w:val="nil"/>
                    <w:left w:val="nil"/>
                    <w:bottom w:val="nil"/>
                    <w:right w:val="nil"/>
                  </w:tcBorders>
                </w:tcPr>
                <w:p w14:paraId="125428E6" w14:textId="77777777" w:rsidR="00051892" w:rsidRPr="006D67E8" w:rsidRDefault="00051892" w:rsidP="00051892">
                  <w:pPr>
                    <w:spacing w:after="60"/>
                    <w:jc w:val="right"/>
                    <w:rPr>
                      <w:rFonts w:ascii="Arial" w:hAnsi="Arial" w:cs="Arial"/>
                      <w:sz w:val="18"/>
                      <w:szCs w:val="18"/>
                    </w:rPr>
                  </w:pPr>
                  <w:r>
                    <w:rPr>
                      <w:rFonts w:ascii="Arial" w:hAnsi="Arial" w:cs="Arial"/>
                      <w:sz w:val="18"/>
                      <w:szCs w:val="18"/>
                    </w:rPr>
                    <w:t>2.6</w:t>
                  </w:r>
                </w:p>
              </w:tc>
              <w:tc>
                <w:tcPr>
                  <w:tcW w:w="8954" w:type="dxa"/>
                  <w:gridSpan w:val="2"/>
                  <w:tcBorders>
                    <w:top w:val="nil"/>
                    <w:left w:val="nil"/>
                    <w:bottom w:val="nil"/>
                    <w:right w:val="nil"/>
                  </w:tcBorders>
                </w:tcPr>
                <w:p w14:paraId="41B1C9BC" w14:textId="77777777" w:rsidR="00051892" w:rsidRPr="006D67E8" w:rsidRDefault="00051892" w:rsidP="00051892">
                  <w:pPr>
                    <w:rPr>
                      <w:rFonts w:ascii="Arial" w:hAnsi="Arial" w:cs="Arial"/>
                      <w:sz w:val="18"/>
                      <w:szCs w:val="18"/>
                    </w:rPr>
                  </w:pPr>
                  <w:r w:rsidRPr="00561C9D">
                    <w:rPr>
                      <w:rFonts w:ascii="Arial" w:hAnsi="Arial" w:cs="Arial"/>
                      <w:sz w:val="18"/>
                      <w:szCs w:val="18"/>
                    </w:rPr>
                    <w:t>Εκτελεί οποιαδήποτε άλλα συναφή καθήκοντα του ανατεθούν</w:t>
                  </w:r>
                </w:p>
              </w:tc>
            </w:tr>
            <w:tr w:rsidR="00051892" w:rsidRPr="006D67E8" w14:paraId="496EE832" w14:textId="77777777" w:rsidTr="00495276">
              <w:tc>
                <w:tcPr>
                  <w:tcW w:w="9628" w:type="dxa"/>
                  <w:gridSpan w:val="3"/>
                  <w:tcBorders>
                    <w:top w:val="nil"/>
                    <w:left w:val="nil"/>
                    <w:bottom w:val="nil"/>
                    <w:right w:val="nil"/>
                  </w:tcBorders>
                </w:tcPr>
                <w:p w14:paraId="5BD65B06" w14:textId="77777777" w:rsidR="00051892" w:rsidRPr="00B24E35" w:rsidRDefault="00051892" w:rsidP="00051892">
                  <w:pPr>
                    <w:spacing w:after="60"/>
                    <w:rPr>
                      <w:rFonts w:ascii="Arial" w:hAnsi="Arial" w:cs="Arial"/>
                      <w:bCs/>
                      <w:iCs/>
                      <w:sz w:val="18"/>
                      <w:szCs w:val="18"/>
                    </w:rPr>
                  </w:pPr>
                  <w:r w:rsidRPr="00B24E35">
                    <w:rPr>
                      <w:rFonts w:ascii="Arial" w:hAnsi="Arial" w:cs="Arial"/>
                      <w:bCs/>
                      <w:sz w:val="18"/>
                      <w:szCs w:val="18"/>
                    </w:rPr>
                    <w:t xml:space="preserve">3.  Απαιτούμενα προσόντα: </w:t>
                  </w:r>
                </w:p>
              </w:tc>
            </w:tr>
            <w:tr w:rsidR="00051892" w:rsidRPr="00D41C46" w14:paraId="085B72D5" w14:textId="77777777" w:rsidTr="00495276">
              <w:tc>
                <w:tcPr>
                  <w:tcW w:w="674" w:type="dxa"/>
                  <w:tcBorders>
                    <w:top w:val="nil"/>
                    <w:left w:val="nil"/>
                    <w:bottom w:val="nil"/>
                    <w:right w:val="nil"/>
                  </w:tcBorders>
                </w:tcPr>
                <w:p w14:paraId="3ECE9909" w14:textId="77777777" w:rsidR="00051892" w:rsidRDefault="00051892" w:rsidP="00051892">
                  <w:pPr>
                    <w:spacing w:after="60"/>
                    <w:jc w:val="right"/>
                    <w:rPr>
                      <w:rFonts w:ascii="Arial" w:hAnsi="Arial" w:cs="Arial"/>
                      <w:bCs/>
                      <w:iCs/>
                      <w:sz w:val="18"/>
                      <w:szCs w:val="18"/>
                    </w:rPr>
                  </w:pPr>
                  <w:r w:rsidRPr="00561C9D">
                    <w:rPr>
                      <w:rFonts w:ascii="Arial" w:hAnsi="Arial" w:cs="Arial"/>
                      <w:sz w:val="18"/>
                      <w:szCs w:val="18"/>
                    </w:rPr>
                    <w:t xml:space="preserve">3.1    </w:t>
                  </w:r>
                </w:p>
              </w:tc>
              <w:tc>
                <w:tcPr>
                  <w:tcW w:w="8954" w:type="dxa"/>
                  <w:gridSpan w:val="2"/>
                  <w:tcBorders>
                    <w:top w:val="nil"/>
                    <w:left w:val="nil"/>
                    <w:bottom w:val="nil"/>
                    <w:right w:val="nil"/>
                  </w:tcBorders>
                </w:tcPr>
                <w:p w14:paraId="16D1C411" w14:textId="77777777" w:rsidR="00051892" w:rsidRPr="00A966CC" w:rsidRDefault="00051892" w:rsidP="00051892">
                  <w:pPr>
                    <w:rPr>
                      <w:rFonts w:ascii="Arial" w:hAnsi="Arial" w:cs="Arial"/>
                      <w:iCs/>
                      <w:sz w:val="18"/>
                      <w:szCs w:val="18"/>
                    </w:rPr>
                  </w:pPr>
                  <w:r w:rsidRPr="00561C9D">
                    <w:rPr>
                      <w:rFonts w:ascii="Arial" w:hAnsi="Arial" w:cs="Arial"/>
                      <w:sz w:val="18"/>
                      <w:szCs w:val="18"/>
                    </w:rPr>
                    <w:t xml:space="preserve">Δίπλωμα αναγνωρισμένης Ανώτερης Σχολής τριετούς </w:t>
                  </w:r>
                  <w:proofErr w:type="spellStart"/>
                  <w:r w:rsidRPr="00561C9D">
                    <w:rPr>
                      <w:rFonts w:ascii="Arial" w:hAnsi="Arial" w:cs="Arial"/>
                      <w:sz w:val="18"/>
                      <w:szCs w:val="18"/>
                    </w:rPr>
                    <w:t>μεταλυκειακού</w:t>
                  </w:r>
                  <w:proofErr w:type="spellEnd"/>
                  <w:r w:rsidRPr="00561C9D">
                    <w:rPr>
                      <w:rFonts w:ascii="Arial" w:hAnsi="Arial" w:cs="Arial"/>
                      <w:sz w:val="18"/>
                      <w:szCs w:val="18"/>
                    </w:rPr>
                    <w:t xml:space="preserve"> κύκλου σπουδών στην Πολιτική</w:t>
                  </w:r>
                  <w:r>
                    <w:rPr>
                      <w:rFonts w:ascii="Arial" w:hAnsi="Arial" w:cs="Arial"/>
                      <w:sz w:val="18"/>
                      <w:szCs w:val="18"/>
                    </w:rPr>
                    <w:t xml:space="preserve"> </w:t>
                  </w:r>
                  <w:r w:rsidRPr="00561C9D">
                    <w:rPr>
                      <w:rFonts w:ascii="Arial" w:hAnsi="Arial" w:cs="Arial"/>
                      <w:sz w:val="18"/>
                      <w:szCs w:val="18"/>
                    </w:rPr>
                    <w:t>Μηχανική ή Αρχιτεκτονική.</w:t>
                  </w:r>
                </w:p>
              </w:tc>
            </w:tr>
            <w:tr w:rsidR="00051892" w:rsidRPr="00D41C46" w14:paraId="74AE83A1" w14:textId="77777777" w:rsidTr="00495276">
              <w:tc>
                <w:tcPr>
                  <w:tcW w:w="674" w:type="dxa"/>
                  <w:tcBorders>
                    <w:top w:val="nil"/>
                    <w:left w:val="nil"/>
                    <w:bottom w:val="nil"/>
                    <w:right w:val="nil"/>
                  </w:tcBorders>
                </w:tcPr>
                <w:p w14:paraId="375100C3" w14:textId="77777777" w:rsidR="00051892" w:rsidRDefault="00051892" w:rsidP="00051892">
                  <w:pPr>
                    <w:spacing w:after="60"/>
                    <w:jc w:val="right"/>
                    <w:rPr>
                      <w:rFonts w:ascii="Arial" w:hAnsi="Arial" w:cs="Arial"/>
                      <w:bCs/>
                      <w:iCs/>
                      <w:sz w:val="18"/>
                      <w:szCs w:val="18"/>
                    </w:rPr>
                  </w:pPr>
                  <w:r w:rsidRPr="00561C9D">
                    <w:rPr>
                      <w:rFonts w:ascii="Arial" w:hAnsi="Arial" w:cs="Arial"/>
                      <w:sz w:val="18"/>
                      <w:szCs w:val="18"/>
                    </w:rPr>
                    <w:t xml:space="preserve">3.2   </w:t>
                  </w:r>
                </w:p>
              </w:tc>
              <w:tc>
                <w:tcPr>
                  <w:tcW w:w="8954" w:type="dxa"/>
                  <w:gridSpan w:val="2"/>
                  <w:tcBorders>
                    <w:top w:val="nil"/>
                    <w:left w:val="nil"/>
                    <w:bottom w:val="nil"/>
                    <w:right w:val="nil"/>
                  </w:tcBorders>
                </w:tcPr>
                <w:p w14:paraId="39971933" w14:textId="77777777" w:rsidR="00051892" w:rsidRPr="00A966CC" w:rsidRDefault="00051892" w:rsidP="00051892">
                  <w:pPr>
                    <w:rPr>
                      <w:rFonts w:ascii="Arial" w:hAnsi="Arial" w:cs="Arial"/>
                      <w:iCs/>
                      <w:sz w:val="18"/>
                      <w:szCs w:val="18"/>
                    </w:rPr>
                  </w:pPr>
                  <w:r w:rsidRPr="00561C9D">
                    <w:rPr>
                      <w:rFonts w:ascii="Arial" w:hAnsi="Arial" w:cs="Arial"/>
                      <w:sz w:val="18"/>
                      <w:szCs w:val="18"/>
                    </w:rPr>
                    <w:t>Ακεραιότητα χαρακτήρα, υπευθυνότητα, πρωτοβουλία και ευθυκρισία.</w:t>
                  </w:r>
                </w:p>
              </w:tc>
            </w:tr>
            <w:tr w:rsidR="00051892" w:rsidRPr="00D41C46" w14:paraId="2A97C1DB" w14:textId="77777777" w:rsidTr="00495276">
              <w:tc>
                <w:tcPr>
                  <w:tcW w:w="674" w:type="dxa"/>
                  <w:tcBorders>
                    <w:top w:val="nil"/>
                    <w:left w:val="nil"/>
                    <w:bottom w:val="nil"/>
                    <w:right w:val="nil"/>
                  </w:tcBorders>
                </w:tcPr>
                <w:p w14:paraId="65FCA9FA" w14:textId="77777777" w:rsidR="00051892" w:rsidRDefault="00051892" w:rsidP="00051892">
                  <w:pPr>
                    <w:spacing w:after="60"/>
                    <w:jc w:val="right"/>
                    <w:rPr>
                      <w:rFonts w:ascii="Arial" w:hAnsi="Arial" w:cs="Arial"/>
                      <w:bCs/>
                      <w:iCs/>
                      <w:sz w:val="18"/>
                      <w:szCs w:val="18"/>
                    </w:rPr>
                  </w:pPr>
                  <w:r>
                    <w:rPr>
                      <w:rFonts w:ascii="Arial" w:hAnsi="Arial" w:cs="Arial"/>
                      <w:bCs/>
                      <w:iCs/>
                      <w:sz w:val="18"/>
                      <w:szCs w:val="18"/>
                    </w:rPr>
                    <w:t>3.3</w:t>
                  </w:r>
                </w:p>
              </w:tc>
              <w:tc>
                <w:tcPr>
                  <w:tcW w:w="8954" w:type="dxa"/>
                  <w:gridSpan w:val="2"/>
                  <w:tcBorders>
                    <w:top w:val="nil"/>
                    <w:left w:val="nil"/>
                    <w:bottom w:val="nil"/>
                    <w:right w:val="nil"/>
                  </w:tcBorders>
                </w:tcPr>
                <w:p w14:paraId="2911CAA4" w14:textId="77777777" w:rsidR="00051892" w:rsidRPr="00A966CC" w:rsidRDefault="00051892" w:rsidP="00051892">
                  <w:pPr>
                    <w:rPr>
                      <w:rFonts w:ascii="Arial" w:hAnsi="Arial" w:cs="Arial"/>
                      <w:iCs/>
                      <w:sz w:val="18"/>
                      <w:szCs w:val="18"/>
                    </w:rPr>
                  </w:pPr>
                  <w:r w:rsidRPr="00561C9D">
                    <w:rPr>
                      <w:rFonts w:ascii="Arial" w:hAnsi="Arial" w:cs="Arial"/>
                      <w:sz w:val="18"/>
                      <w:szCs w:val="18"/>
                    </w:rPr>
                    <w:t xml:space="preserve">Πολύ καλή γνώση της Ελληνικής και καλή γνώση της Αγγλικής γλώσσας. </w:t>
                  </w:r>
                </w:p>
              </w:tc>
            </w:tr>
            <w:tr w:rsidR="00051892" w:rsidRPr="00D41C46" w14:paraId="3B3488AD" w14:textId="77777777" w:rsidTr="00495276">
              <w:tc>
                <w:tcPr>
                  <w:tcW w:w="9628" w:type="dxa"/>
                  <w:gridSpan w:val="3"/>
                  <w:tcBorders>
                    <w:top w:val="nil"/>
                    <w:left w:val="nil"/>
                    <w:bottom w:val="nil"/>
                    <w:right w:val="nil"/>
                  </w:tcBorders>
                </w:tcPr>
                <w:p w14:paraId="1AF4C4F4" w14:textId="77777777" w:rsidR="00051892" w:rsidRPr="00561C9D" w:rsidRDefault="00051892" w:rsidP="00051892">
                  <w:pPr>
                    <w:rPr>
                      <w:rFonts w:ascii="Arial" w:hAnsi="Arial" w:cs="Arial"/>
                      <w:sz w:val="18"/>
                      <w:szCs w:val="18"/>
                    </w:rPr>
                  </w:pPr>
                  <w:r w:rsidRPr="00F27BFE">
                    <w:rPr>
                      <w:rFonts w:ascii="Arial" w:hAnsi="Arial" w:cs="Arial"/>
                      <w:bCs/>
                      <w:iCs/>
                      <w:sz w:val="18"/>
                      <w:szCs w:val="18"/>
                    </w:rPr>
                    <w:t>Σημειώσεις για τα καθήκοντα και ευθύνες και τα απαιτούμενα προσόντα της θέσης:</w:t>
                  </w:r>
                </w:p>
              </w:tc>
            </w:tr>
            <w:tr w:rsidR="00051892" w:rsidRPr="00D41C46" w14:paraId="2E185DD0" w14:textId="77777777" w:rsidTr="00495276">
              <w:tc>
                <w:tcPr>
                  <w:tcW w:w="674" w:type="dxa"/>
                  <w:tcBorders>
                    <w:top w:val="nil"/>
                    <w:left w:val="nil"/>
                    <w:bottom w:val="nil"/>
                    <w:right w:val="nil"/>
                  </w:tcBorders>
                </w:tcPr>
                <w:p w14:paraId="696C2BFD" w14:textId="77777777" w:rsidR="00051892" w:rsidRDefault="00051892" w:rsidP="00051892">
                  <w:pPr>
                    <w:rPr>
                      <w:rFonts w:ascii="Arial" w:hAnsi="Arial" w:cs="Arial"/>
                      <w:bCs/>
                      <w:iCs/>
                      <w:sz w:val="18"/>
                      <w:szCs w:val="18"/>
                    </w:rPr>
                  </w:pPr>
                </w:p>
              </w:tc>
              <w:tc>
                <w:tcPr>
                  <w:tcW w:w="709" w:type="dxa"/>
                  <w:tcBorders>
                    <w:top w:val="nil"/>
                    <w:left w:val="nil"/>
                    <w:bottom w:val="nil"/>
                    <w:right w:val="nil"/>
                  </w:tcBorders>
                </w:tcPr>
                <w:p w14:paraId="75E06C43" w14:textId="77777777" w:rsidR="00051892" w:rsidRDefault="00051892" w:rsidP="00051892">
                  <w:pPr>
                    <w:jc w:val="center"/>
                    <w:rPr>
                      <w:rFonts w:ascii="Arial" w:hAnsi="Arial" w:cs="Arial"/>
                      <w:bCs/>
                      <w:iCs/>
                      <w:sz w:val="18"/>
                      <w:szCs w:val="18"/>
                    </w:rPr>
                  </w:pPr>
                  <w:r>
                    <w:rPr>
                      <w:rFonts w:ascii="Arial" w:hAnsi="Arial" w:cs="Arial"/>
                      <w:bCs/>
                      <w:iCs/>
                      <w:sz w:val="18"/>
                      <w:szCs w:val="18"/>
                    </w:rPr>
                    <w:t>1</w:t>
                  </w:r>
                </w:p>
              </w:tc>
              <w:tc>
                <w:tcPr>
                  <w:tcW w:w="8245" w:type="dxa"/>
                  <w:tcBorders>
                    <w:top w:val="nil"/>
                    <w:left w:val="nil"/>
                    <w:bottom w:val="nil"/>
                    <w:right w:val="nil"/>
                  </w:tcBorders>
                </w:tcPr>
                <w:p w14:paraId="3DA640FF"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Οι υποψήφιοι πρέπει να επιτύχουν σε γραπτή εξέταση σύμφωνα με τη σχετική νομοθεσία</w:t>
                  </w:r>
                  <w:r>
                    <w:rPr>
                      <w:rFonts w:ascii="Arial" w:hAnsi="Arial" w:cs="Arial"/>
                      <w:bCs/>
                      <w:iCs/>
                      <w:sz w:val="18"/>
                      <w:szCs w:val="18"/>
                    </w:rPr>
                    <w:t>.</w:t>
                  </w:r>
                  <w:r w:rsidRPr="00F27BFE">
                    <w:rPr>
                      <w:rFonts w:ascii="Arial" w:hAnsi="Arial" w:cs="Arial"/>
                      <w:bCs/>
                      <w:iCs/>
                      <w:sz w:val="18"/>
                      <w:szCs w:val="18"/>
                    </w:rPr>
                    <w:t xml:space="preserve">  </w:t>
                  </w:r>
                </w:p>
              </w:tc>
            </w:tr>
            <w:tr w:rsidR="00051892" w:rsidRPr="00D41C46" w14:paraId="62A7B7D9" w14:textId="77777777" w:rsidTr="00495276">
              <w:tc>
                <w:tcPr>
                  <w:tcW w:w="674" w:type="dxa"/>
                  <w:tcBorders>
                    <w:top w:val="nil"/>
                    <w:left w:val="nil"/>
                    <w:bottom w:val="nil"/>
                    <w:right w:val="nil"/>
                  </w:tcBorders>
                </w:tcPr>
                <w:p w14:paraId="77D3D2F8"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14516F34"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2</w:t>
                  </w:r>
                </w:p>
              </w:tc>
              <w:tc>
                <w:tcPr>
                  <w:tcW w:w="8245" w:type="dxa"/>
                  <w:tcBorders>
                    <w:top w:val="nil"/>
                    <w:left w:val="nil"/>
                    <w:bottom w:val="nil"/>
                    <w:right w:val="nil"/>
                  </w:tcBorders>
                </w:tcPr>
                <w:p w14:paraId="1323E227" w14:textId="6FA12FE9" w:rsidR="00051892" w:rsidRPr="00C51FA6" w:rsidRDefault="00051892" w:rsidP="00051892">
                  <w:pPr>
                    <w:rPr>
                      <w:rFonts w:ascii="Arial" w:hAnsi="Arial" w:cs="Arial"/>
                      <w:bCs/>
                      <w:iCs/>
                      <w:sz w:val="18"/>
                      <w:szCs w:val="18"/>
                    </w:rPr>
                  </w:pPr>
                  <w:r w:rsidRPr="00F27BFE">
                    <w:rPr>
                      <w:rFonts w:ascii="Arial" w:hAnsi="Arial" w:cs="Arial"/>
                      <w:bCs/>
                      <w:iCs/>
                      <w:sz w:val="18"/>
                      <w:szCs w:val="18"/>
                    </w:rPr>
                    <w:t xml:space="preserve">Οι ειδικότητες που απαιτούνται στη παράγραφο 3.1. πιο </w:t>
                  </w:r>
                  <w:r w:rsidR="00C51FA6">
                    <w:rPr>
                      <w:rFonts w:ascii="Arial" w:hAnsi="Arial" w:cs="Arial"/>
                      <w:bCs/>
                      <w:iCs/>
                      <w:sz w:val="18"/>
                      <w:szCs w:val="18"/>
                    </w:rPr>
                    <w:t xml:space="preserve">πάνω, </w:t>
                  </w:r>
                  <w:r w:rsidR="00C51FA6">
                    <w:rPr>
                      <w:rFonts w:ascii="Arial" w:hAnsi="Arial" w:cs="Arial"/>
                      <w:iCs/>
                      <w:sz w:val="18"/>
                      <w:szCs w:val="18"/>
                    </w:rPr>
                    <w:t>για σκοπούς της παρούσας διαδικασίας και σύμφωνα με τις ανάγκες του Δήμου καθορίζονται, κατόπιν απόφασης του Δημοτικού Συμβουλίου ημερομηνίας 10/09/2025,  ως εξής</w:t>
                  </w:r>
                  <w:r w:rsidR="00C51FA6" w:rsidRPr="00C51FA6">
                    <w:rPr>
                      <w:rFonts w:ascii="Arial" w:hAnsi="Arial" w:cs="Arial"/>
                      <w:iCs/>
                      <w:sz w:val="18"/>
                      <w:szCs w:val="18"/>
                    </w:rPr>
                    <w:t xml:space="preserve">: </w:t>
                  </w:r>
                  <w:r w:rsidR="00C51FA6">
                    <w:rPr>
                      <w:rFonts w:ascii="Arial" w:hAnsi="Arial" w:cs="Arial"/>
                      <w:iCs/>
                      <w:sz w:val="18"/>
                      <w:szCs w:val="18"/>
                    </w:rPr>
                    <w:t xml:space="preserve">«Δίπλωμα αναγνωρισμένης Ανώτερης Σχολής τριετούς </w:t>
                  </w:r>
                  <w:proofErr w:type="spellStart"/>
                  <w:r w:rsidR="00C51FA6">
                    <w:rPr>
                      <w:rFonts w:ascii="Arial" w:hAnsi="Arial" w:cs="Arial"/>
                      <w:iCs/>
                      <w:sz w:val="18"/>
                      <w:szCs w:val="18"/>
                    </w:rPr>
                    <w:t>μεταλυκειακού</w:t>
                  </w:r>
                  <w:proofErr w:type="spellEnd"/>
                  <w:r w:rsidR="00C51FA6">
                    <w:rPr>
                      <w:rFonts w:ascii="Arial" w:hAnsi="Arial" w:cs="Arial"/>
                      <w:iCs/>
                      <w:sz w:val="18"/>
                      <w:szCs w:val="18"/>
                    </w:rPr>
                    <w:t xml:space="preserve"> κύκλου σπουδών στην Πολιτική Μηχανική ή Αρχιτεκτονική».</w:t>
                  </w:r>
                </w:p>
              </w:tc>
            </w:tr>
            <w:tr w:rsidR="00051892" w:rsidRPr="00D41C46" w14:paraId="68A45C12" w14:textId="77777777" w:rsidTr="00495276">
              <w:tc>
                <w:tcPr>
                  <w:tcW w:w="674" w:type="dxa"/>
                  <w:tcBorders>
                    <w:top w:val="nil"/>
                    <w:left w:val="nil"/>
                    <w:bottom w:val="nil"/>
                    <w:right w:val="nil"/>
                  </w:tcBorders>
                </w:tcPr>
                <w:p w14:paraId="5744FD30"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0CB1EFDC"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3</w:t>
                  </w:r>
                </w:p>
              </w:tc>
              <w:tc>
                <w:tcPr>
                  <w:tcW w:w="8245" w:type="dxa"/>
                  <w:tcBorders>
                    <w:top w:val="nil"/>
                    <w:left w:val="nil"/>
                    <w:bottom w:val="nil"/>
                    <w:right w:val="nil"/>
                  </w:tcBorders>
                </w:tcPr>
                <w:p w14:paraId="214B8119"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Οι διοριζόμενοι μετά την έγκριση του παρόντος Σχεδίου Υπηρεσίας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w:t>
                  </w:r>
                  <w:r>
                    <w:rPr>
                      <w:rFonts w:ascii="Arial" w:hAnsi="Arial" w:cs="Arial"/>
                      <w:bCs/>
                      <w:iCs/>
                      <w:sz w:val="18"/>
                      <w:szCs w:val="18"/>
                    </w:rPr>
                    <w:t xml:space="preserve"> </w:t>
                  </w:r>
                  <w:r>
                    <w:rPr>
                      <w:rFonts w:ascii="Arial" w:hAnsi="Arial" w:cs="Arial"/>
                      <w:bCs/>
                      <w:iCs/>
                      <w:sz w:val="18"/>
                      <w:szCs w:val="18"/>
                    </w:rPr>
                    <w:tab/>
                  </w:r>
                  <w:r w:rsidRPr="00F27BFE">
                    <w:rPr>
                      <w:rFonts w:ascii="Arial" w:hAnsi="Arial" w:cs="Arial"/>
                      <w:bCs/>
                      <w:iCs/>
                      <w:sz w:val="18"/>
                      <w:szCs w:val="18"/>
                    </w:rPr>
                    <w:t>Νόμο μέσα σε 2 χρόνια ή 4 εξεταστικές περιόδους από το διορισμό τους και στις εξετάσεις επί του Περί Οικοδομών Νόμου Κεφ.96, του Περί Πολεοδομίας και Χωροταξίας Νόμου και των σχετικών  Κανονισμών, μέσα σε 4 χρόνια ή 8 εξεταστικές περιόδους από το διορισμό τους.</w:t>
                  </w:r>
                </w:p>
              </w:tc>
            </w:tr>
            <w:tr w:rsidR="00051892" w:rsidRPr="00D41C46" w14:paraId="1EC84A12" w14:textId="77777777" w:rsidTr="00495276">
              <w:tc>
                <w:tcPr>
                  <w:tcW w:w="674" w:type="dxa"/>
                  <w:tcBorders>
                    <w:top w:val="nil"/>
                    <w:left w:val="nil"/>
                    <w:bottom w:val="nil"/>
                    <w:right w:val="nil"/>
                  </w:tcBorders>
                </w:tcPr>
                <w:p w14:paraId="046CFD07"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6433AAE4"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4</w:t>
                  </w:r>
                </w:p>
              </w:tc>
              <w:tc>
                <w:tcPr>
                  <w:tcW w:w="8245" w:type="dxa"/>
                  <w:tcBorders>
                    <w:top w:val="nil"/>
                    <w:left w:val="nil"/>
                    <w:bottom w:val="nil"/>
                    <w:right w:val="nil"/>
                  </w:tcBorders>
                </w:tcPr>
                <w:p w14:paraId="2D2FD342"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Η ανέλιξη των υπαλλήλων στην αμέσως ψηλότερη κλίμακα των συνδυασμένων κλιμάκων της θέσης τους θα γίνεται νοουμένου ότι οι υπάλληλοι θα έχουν επιτύχει στις εξετάσεις που αναφέρονται στη Σημείωση (3).</w:t>
                  </w:r>
                </w:p>
              </w:tc>
            </w:tr>
            <w:tr w:rsidR="00051892" w:rsidRPr="00D41C46" w14:paraId="3ED25DAC" w14:textId="77777777" w:rsidTr="00495276">
              <w:tc>
                <w:tcPr>
                  <w:tcW w:w="674" w:type="dxa"/>
                  <w:tcBorders>
                    <w:top w:val="nil"/>
                    <w:left w:val="nil"/>
                    <w:bottom w:val="nil"/>
                    <w:right w:val="nil"/>
                  </w:tcBorders>
                </w:tcPr>
                <w:p w14:paraId="04CE45C5"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78575700"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5</w:t>
                  </w:r>
                </w:p>
              </w:tc>
              <w:tc>
                <w:tcPr>
                  <w:tcW w:w="8245" w:type="dxa"/>
                  <w:tcBorders>
                    <w:top w:val="nil"/>
                    <w:left w:val="nil"/>
                    <w:bottom w:val="nil"/>
                    <w:right w:val="nil"/>
                  </w:tcBorders>
                </w:tcPr>
                <w:p w14:paraId="49B1A34B"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Ανάλογα με τα χρόνια υπηρεσίας και την πείρα του υπαλλήλου, αναμένεται από αυτόν να εκτελεί τα καθήκοντα του σε αυξημένο βαθμό ευθύνης και δύνανται να ανατεθούν σε αυτόν πιο υπεύθυνα καθήκοντα, μεταξύ των οποίων ο έλεγχος της εργασίας, η καθοδήγηση και η εκπαίδευση κατώτερου προσωπικού ενώ σε παραλιακούς Δήμους μπορεί να του ανατεθεί και το καθήκον επιθεώρησης παραλιών.</w:t>
                  </w:r>
                </w:p>
              </w:tc>
            </w:tr>
            <w:tr w:rsidR="00051892" w:rsidRPr="00D41C46" w14:paraId="47DFE569" w14:textId="77777777" w:rsidTr="00495276">
              <w:tc>
                <w:tcPr>
                  <w:tcW w:w="674" w:type="dxa"/>
                  <w:tcBorders>
                    <w:top w:val="nil"/>
                    <w:left w:val="nil"/>
                    <w:bottom w:val="nil"/>
                    <w:right w:val="nil"/>
                  </w:tcBorders>
                </w:tcPr>
                <w:p w14:paraId="276058C4"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363A2368"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6</w:t>
                  </w:r>
                </w:p>
              </w:tc>
              <w:tc>
                <w:tcPr>
                  <w:tcW w:w="8245" w:type="dxa"/>
                  <w:tcBorders>
                    <w:top w:val="nil"/>
                    <w:left w:val="nil"/>
                    <w:bottom w:val="nil"/>
                    <w:right w:val="nil"/>
                  </w:tcBorders>
                </w:tcPr>
                <w:p w14:paraId="6F6D1C34"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Ανάλογα με τις ανάγκες της υπηρεσίας οι υπάλληλοι θα τυγχάνουν ειδικής εκπαίδευσης και θα παρακολουθούν επιμορφωτικά μαθήματα σχετικά με τα καθήκοντα τους.</w:t>
                  </w:r>
                </w:p>
              </w:tc>
            </w:tr>
            <w:tr w:rsidR="00051892" w:rsidRPr="00D41C46" w14:paraId="00A33628" w14:textId="77777777" w:rsidTr="00495276">
              <w:tc>
                <w:tcPr>
                  <w:tcW w:w="674" w:type="dxa"/>
                  <w:tcBorders>
                    <w:top w:val="nil"/>
                    <w:left w:val="nil"/>
                    <w:bottom w:val="nil"/>
                    <w:right w:val="nil"/>
                  </w:tcBorders>
                </w:tcPr>
                <w:p w14:paraId="7370C3FC" w14:textId="77777777" w:rsidR="00051892" w:rsidRDefault="00051892" w:rsidP="00051892">
                  <w:pPr>
                    <w:spacing w:after="60"/>
                    <w:rPr>
                      <w:rFonts w:ascii="Arial" w:hAnsi="Arial" w:cs="Arial"/>
                      <w:bCs/>
                      <w:iCs/>
                      <w:sz w:val="18"/>
                      <w:szCs w:val="18"/>
                    </w:rPr>
                  </w:pPr>
                </w:p>
              </w:tc>
              <w:tc>
                <w:tcPr>
                  <w:tcW w:w="709" w:type="dxa"/>
                  <w:tcBorders>
                    <w:top w:val="nil"/>
                    <w:left w:val="nil"/>
                    <w:bottom w:val="nil"/>
                    <w:right w:val="nil"/>
                  </w:tcBorders>
                </w:tcPr>
                <w:p w14:paraId="481B8864" w14:textId="77777777" w:rsidR="00051892" w:rsidRPr="00F27BFE" w:rsidRDefault="00051892" w:rsidP="00051892">
                  <w:pPr>
                    <w:jc w:val="center"/>
                    <w:rPr>
                      <w:rFonts w:ascii="Arial" w:hAnsi="Arial" w:cs="Arial"/>
                      <w:bCs/>
                      <w:iCs/>
                      <w:sz w:val="18"/>
                      <w:szCs w:val="18"/>
                    </w:rPr>
                  </w:pPr>
                  <w:r>
                    <w:rPr>
                      <w:rFonts w:ascii="Arial" w:hAnsi="Arial" w:cs="Arial"/>
                      <w:bCs/>
                      <w:iCs/>
                      <w:sz w:val="18"/>
                      <w:szCs w:val="18"/>
                    </w:rPr>
                    <w:t>7</w:t>
                  </w:r>
                </w:p>
              </w:tc>
              <w:tc>
                <w:tcPr>
                  <w:tcW w:w="8245" w:type="dxa"/>
                  <w:tcBorders>
                    <w:top w:val="nil"/>
                    <w:left w:val="nil"/>
                    <w:bottom w:val="nil"/>
                    <w:right w:val="nil"/>
                  </w:tcBorders>
                </w:tcPr>
                <w:p w14:paraId="634C4941" w14:textId="77777777" w:rsidR="00051892" w:rsidRPr="00F27BFE" w:rsidRDefault="00051892" w:rsidP="00051892">
                  <w:pPr>
                    <w:rPr>
                      <w:rFonts w:ascii="Arial" w:hAnsi="Arial" w:cs="Arial"/>
                      <w:bCs/>
                      <w:iCs/>
                      <w:sz w:val="18"/>
                      <w:szCs w:val="18"/>
                    </w:rPr>
                  </w:pPr>
                  <w:r w:rsidRPr="00F27BFE">
                    <w:rPr>
                      <w:rFonts w:ascii="Arial" w:hAnsi="Arial" w:cs="Arial"/>
                      <w:bCs/>
                      <w:iCs/>
                      <w:sz w:val="18"/>
                      <w:szCs w:val="18"/>
                    </w:rPr>
                    <w:t xml:space="preserve">Οι υπάλληλοι  που θα διοριστούν μετά την </w:t>
                  </w:r>
                  <w:r>
                    <w:rPr>
                      <w:rFonts w:ascii="Arial" w:hAnsi="Arial" w:cs="Arial"/>
                      <w:bCs/>
                      <w:iCs/>
                      <w:sz w:val="18"/>
                      <w:szCs w:val="18"/>
                    </w:rPr>
                    <w:t xml:space="preserve">01/07/2024 </w:t>
                  </w:r>
                  <w:r w:rsidRPr="00F27BFE">
                    <w:rPr>
                      <w:rFonts w:ascii="Arial" w:hAnsi="Arial" w:cs="Arial"/>
                      <w:bCs/>
                      <w:iCs/>
                      <w:sz w:val="18"/>
                      <w:szCs w:val="18"/>
                    </w:rPr>
                    <w:t>θα εργάζονται όταν απαιτείται από τις ανάγκες της υπηρεσίας και εκτός του συνηθισμένου ωραρίου της Δημοτικής Υπηρεσίας, το σύνολο όμως των ωρών εργασίας δεν θα υπερβαίνει το καθορισμένο αριθμό ωρών την βδομάδα.</w:t>
                  </w:r>
                </w:p>
              </w:tc>
            </w:tr>
          </w:tbl>
          <w:p w14:paraId="57577F1A" w14:textId="2E38E58C" w:rsidR="00ED52A7" w:rsidRPr="00E15984"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lastRenderedPageBreak/>
              <w:t>4.</w:t>
            </w:r>
          </w:p>
        </w:tc>
        <w:tc>
          <w:tcPr>
            <w:tcW w:w="9654" w:type="dxa"/>
            <w:gridSpan w:val="7"/>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5"/>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5"/>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5"/>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5"/>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5"/>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5"/>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 xml:space="preserve">Είναι δυνατόν, για τίτλους σπουδών, όπου αυτό κριθεί αναγκαίο, να </w:t>
            </w:r>
            <w:r w:rsidRPr="00662E32">
              <w:rPr>
                <w:rFonts w:ascii="Arial" w:hAnsi="Arial" w:cs="Arial"/>
                <w:sz w:val="18"/>
                <w:szCs w:val="18"/>
              </w:rPr>
              <w:t>ζητηθεί πιστοποιητικό</w:t>
            </w:r>
            <w:r w:rsidRPr="00F46E4D">
              <w:rPr>
                <w:rFonts w:ascii="Arial" w:hAnsi="Arial" w:cs="Arial"/>
                <w:sz w:val="18"/>
                <w:szCs w:val="18"/>
              </w:rPr>
              <w:t xml:space="preserve">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5"/>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7"/>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5"/>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5"/>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3"/>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5"/>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5"/>
            <w:tcBorders>
              <w:top w:val="nil"/>
              <w:left w:val="nil"/>
              <w:bottom w:val="nil"/>
              <w:right w:val="nil"/>
            </w:tcBorders>
          </w:tcPr>
          <w:p w14:paraId="589B8628" w14:textId="77777777" w:rsid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78072696" w14:textId="57BA7BC5" w:rsidR="00E15984" w:rsidRPr="00F46E4D" w:rsidRDefault="00E15984" w:rsidP="00025E21">
            <w:pPr>
              <w:pStyle w:val="ListParagraph"/>
              <w:ind w:left="0"/>
              <w:rPr>
                <w:rFonts w:ascii="Arial" w:hAnsi="Arial" w:cs="Arial"/>
                <w:sz w:val="18"/>
                <w:szCs w:val="18"/>
              </w:rPr>
            </w:pP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lastRenderedPageBreak/>
              <w:t>6.</w:t>
            </w:r>
          </w:p>
        </w:tc>
        <w:tc>
          <w:tcPr>
            <w:tcW w:w="9654" w:type="dxa"/>
            <w:gridSpan w:val="7"/>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5"/>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5"/>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5"/>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5"/>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5"/>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A8292D">
              <w:rPr>
                <w:rFonts w:ascii="Arial" w:hAnsi="Arial" w:cs="Arial"/>
                <w:sz w:val="18"/>
                <w:szCs w:val="18"/>
              </w:rPr>
              <w:t>09/01/2026</w:t>
            </w:r>
            <w:r w:rsidRPr="00A8292D">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5"/>
            <w:tcBorders>
              <w:top w:val="nil"/>
              <w:left w:val="nil"/>
              <w:bottom w:val="nil"/>
              <w:right w:val="nil"/>
            </w:tcBorders>
          </w:tcPr>
          <w:p w14:paraId="2D5BD96A" w14:textId="6B3D437B"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E15984">
              <w:rPr>
                <w:rFonts w:ascii="Arial" w:hAnsi="Arial" w:cs="Arial"/>
                <w:sz w:val="18"/>
                <w:szCs w:val="18"/>
              </w:rPr>
              <w:t>ΤΜ</w:t>
            </w:r>
            <w:r w:rsidRPr="00BE03F2">
              <w:rPr>
                <w:rFonts w:ascii="Arial" w:hAnsi="Arial" w:cs="Arial"/>
                <w:sz w:val="18"/>
                <w:szCs w:val="18"/>
              </w:rPr>
              <w:t>, 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5"/>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5"/>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5"/>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5"/>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5"/>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5"/>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0" w:name="_Hlk212118042"/>
            <w:bookmarkStart w:id="1" w:name="_Hlk212118052"/>
            <w:r>
              <w:rPr>
                <w:rFonts w:ascii="Arial" w:hAnsi="Arial" w:cs="Arial"/>
                <w:iCs/>
                <w:sz w:val="18"/>
                <w:szCs w:val="18"/>
                <w:lang w:val="en-US"/>
              </w:rPr>
              <w:t>7.</w:t>
            </w:r>
          </w:p>
        </w:tc>
        <w:tc>
          <w:tcPr>
            <w:tcW w:w="9654" w:type="dxa"/>
            <w:gridSpan w:val="7"/>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5"/>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0"/>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5"/>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5"/>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1"/>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5"/>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5"/>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5"/>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5"/>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5"/>
            <w:tcBorders>
              <w:top w:val="nil"/>
              <w:left w:val="nil"/>
              <w:bottom w:val="nil"/>
              <w:right w:val="nil"/>
            </w:tcBorders>
          </w:tcPr>
          <w:p w14:paraId="46EA0B6D" w14:textId="632E20F3"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w:t>
            </w:r>
            <w:r w:rsidR="00E15984">
              <w:rPr>
                <w:rFonts w:ascii="Arial" w:hAnsi="Arial" w:cs="Arial"/>
                <w:bCs/>
                <w:sz w:val="18"/>
                <w:szCs w:val="18"/>
              </w:rPr>
              <w:t>τον Δημοτικό Μηχανικό</w:t>
            </w:r>
            <w:r w:rsidRPr="00DD722D">
              <w:rPr>
                <w:rFonts w:ascii="Arial" w:hAnsi="Arial" w:cs="Arial"/>
                <w:bCs/>
                <w:sz w:val="18"/>
                <w:szCs w:val="18"/>
              </w:rPr>
              <w:t xml:space="preserve">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5"/>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5"/>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1675CE6" w14:textId="454F4919" w:rsidR="00DD722D" w:rsidRPr="00BE03F2" w:rsidRDefault="00DD722D" w:rsidP="00DD722D">
            <w:pPr>
              <w:rPr>
                <w:rFonts w:ascii="Arial" w:hAnsi="Arial" w:cs="Arial"/>
                <w:bCs/>
                <w:sz w:val="18"/>
                <w:szCs w:val="18"/>
              </w:rPr>
            </w:pPr>
            <w:r w:rsidRPr="00DD722D">
              <w:rPr>
                <w:rFonts w:ascii="Arial" w:hAnsi="Arial" w:cs="Arial"/>
                <w:bCs/>
                <w:sz w:val="18"/>
                <w:szCs w:val="18"/>
              </w:rPr>
              <w:t>Αποτελέσματα γραπτής εξέτασης (</w:t>
            </w:r>
            <w:r w:rsidR="00C35C85">
              <w:rPr>
                <w:rFonts w:ascii="Arial" w:hAnsi="Arial" w:cs="Arial"/>
                <w:bCs/>
                <w:sz w:val="18"/>
                <w:szCs w:val="18"/>
              </w:rPr>
              <w:t>Νέα Ελληνικά, Αγγλικά, Ειδικό Θέμα</w:t>
            </w:r>
            <w:r w:rsidRPr="00DD722D">
              <w:rPr>
                <w:rFonts w:ascii="Arial" w:hAnsi="Arial" w:cs="Arial"/>
                <w:bCs/>
                <w:sz w:val="18"/>
                <w:szCs w:val="18"/>
              </w:rPr>
              <w:t xml:space="preserve">):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2"/>
            <w:tcBorders>
              <w:top w:val="nil"/>
              <w:left w:val="nil"/>
              <w:bottom w:val="nil"/>
              <w:right w:val="nil"/>
            </w:tcBorders>
          </w:tcPr>
          <w:p w14:paraId="73F67419" w14:textId="53BFF506" w:rsidR="006C123D" w:rsidRPr="006C123D" w:rsidRDefault="005D1E71" w:rsidP="006C123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2"/>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5359C7FB" w14:textId="77777777" w:rsid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p w14:paraId="69757334" w14:textId="04E4A615" w:rsidR="00C35C85" w:rsidRPr="005D1E71" w:rsidRDefault="00C35C85" w:rsidP="00C35C85">
            <w:pPr>
              <w:pStyle w:val="ListParagraph"/>
              <w:ind w:left="179"/>
              <w:rPr>
                <w:rFonts w:ascii="Arial" w:hAnsi="Arial" w:cs="Arial"/>
                <w:bCs/>
                <w:sz w:val="18"/>
                <w:szCs w:val="18"/>
              </w:rPr>
            </w:pP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3"/>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3"/>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tcBorders>
              <w:top w:val="nil"/>
              <w:left w:val="nil"/>
              <w:bottom w:val="nil"/>
              <w:right w:val="nil"/>
            </w:tcBorders>
          </w:tcPr>
          <w:p w14:paraId="1C8A598A" w14:textId="77777777"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35C85" w:rsidRDefault="002D45B2" w:rsidP="002D45B2">
            <w:pPr>
              <w:ind w:left="360" w:hanging="538"/>
              <w:jc w:val="center"/>
              <w:rPr>
                <w:rFonts w:ascii="Arial" w:hAnsi="Arial" w:cs="Arial"/>
                <w:bCs/>
                <w:sz w:val="18"/>
                <w:szCs w:val="18"/>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2"/>
            <w:tcBorders>
              <w:top w:val="nil"/>
              <w:left w:val="nil"/>
              <w:bottom w:val="nil"/>
              <w:right w:val="nil"/>
            </w:tcBorders>
          </w:tcPr>
          <w:tbl>
            <w:tblPr>
              <w:tblStyle w:val="TableGrid"/>
              <w:tblW w:w="10050" w:type="dxa"/>
              <w:tblLayout w:type="fixed"/>
              <w:tblLook w:val="04A0" w:firstRow="1" w:lastRow="0" w:firstColumn="1" w:lastColumn="0" w:noHBand="0" w:noVBand="1"/>
            </w:tblPr>
            <w:tblGrid>
              <w:gridCol w:w="5345"/>
              <w:gridCol w:w="4441"/>
              <w:gridCol w:w="264"/>
            </w:tblGrid>
            <w:tr w:rsidR="00C35C85" w:rsidRPr="00C35C85" w14:paraId="73C1CD78" w14:textId="77777777">
              <w:tc>
                <w:tcPr>
                  <w:tcW w:w="8538" w:type="dxa"/>
                  <w:gridSpan w:val="3"/>
                  <w:tcBorders>
                    <w:top w:val="nil"/>
                    <w:left w:val="nil"/>
                    <w:bottom w:val="nil"/>
                    <w:right w:val="nil"/>
                  </w:tcBorders>
                  <w:hideMark/>
                </w:tcPr>
                <w:p w14:paraId="036C7B46" w14:textId="77777777" w:rsidR="00C35C85" w:rsidRDefault="00C35C85" w:rsidP="00C35C85">
                  <w:pPr>
                    <w:rPr>
                      <w:rFonts w:ascii="Arial" w:hAnsi="Arial" w:cs="Arial"/>
                      <w:bCs/>
                      <w:sz w:val="18"/>
                      <w:szCs w:val="18"/>
                    </w:rPr>
                  </w:pPr>
                  <w:r>
                    <w:rPr>
                      <w:rFonts w:ascii="Arial" w:hAnsi="Arial" w:cs="Arial"/>
                      <w:bCs/>
                      <w:sz w:val="18"/>
                      <w:szCs w:val="18"/>
                    </w:rPr>
                    <w:t>Πείρα σχετική με τα καθήκοντα της θέσης:</w:t>
                  </w:r>
                </w:p>
              </w:tc>
            </w:tr>
            <w:tr w:rsidR="00C35C85" w:rsidRPr="00C35C85" w14:paraId="39DAFDF7" w14:textId="77777777">
              <w:trPr>
                <w:gridAfter w:val="1"/>
                <w:wAfter w:w="41" w:type="dxa"/>
              </w:trPr>
              <w:tc>
                <w:tcPr>
                  <w:tcW w:w="4541" w:type="dxa"/>
                  <w:tcBorders>
                    <w:top w:val="nil"/>
                    <w:left w:val="nil"/>
                    <w:bottom w:val="nil"/>
                    <w:right w:val="nil"/>
                  </w:tcBorders>
                  <w:hideMark/>
                </w:tcPr>
                <w:p w14:paraId="6CF478C4" w14:textId="77777777" w:rsidR="00C35C85" w:rsidRDefault="00C35C85" w:rsidP="00C35C85">
                  <w:pPr>
                    <w:rPr>
                      <w:rFonts w:ascii="Arial" w:hAnsi="Arial" w:cs="Arial"/>
                      <w:bCs/>
                      <w:sz w:val="18"/>
                      <w:szCs w:val="18"/>
                    </w:rPr>
                  </w:pPr>
                  <w:r>
                    <w:rPr>
                      <w:rFonts w:ascii="Arial" w:hAnsi="Arial" w:cs="Arial"/>
                      <w:bCs/>
                      <w:sz w:val="18"/>
                      <w:szCs w:val="18"/>
                    </w:rPr>
                    <w:t>Πείρα μέχρι 1 (ένα) χρόνο</w:t>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p>
                <w:p w14:paraId="79C9E0EC" w14:textId="77777777" w:rsidR="00C35C85" w:rsidRDefault="00C35C85" w:rsidP="00C35C85">
                  <w:pPr>
                    <w:rPr>
                      <w:rFonts w:ascii="Arial" w:hAnsi="Arial" w:cs="Arial"/>
                      <w:bCs/>
                      <w:sz w:val="18"/>
                      <w:szCs w:val="18"/>
                    </w:rPr>
                  </w:pPr>
                  <w:r>
                    <w:rPr>
                      <w:rFonts w:ascii="Arial" w:hAnsi="Arial" w:cs="Arial"/>
                      <w:bCs/>
                      <w:sz w:val="18"/>
                      <w:szCs w:val="18"/>
                    </w:rPr>
                    <w:t>Πείρα από 1+ (ένα) μέχρι 2 (δύο) χρόνια</w:t>
                  </w:r>
                  <w:r>
                    <w:rPr>
                      <w:rFonts w:ascii="Arial" w:hAnsi="Arial" w:cs="Arial"/>
                      <w:bCs/>
                      <w:sz w:val="18"/>
                      <w:szCs w:val="18"/>
                    </w:rPr>
                    <w:tab/>
                  </w:r>
                  <w:r>
                    <w:rPr>
                      <w:rFonts w:ascii="Arial" w:hAnsi="Arial" w:cs="Arial"/>
                      <w:bCs/>
                      <w:sz w:val="18"/>
                      <w:szCs w:val="18"/>
                    </w:rPr>
                    <w:tab/>
                    <w:t xml:space="preserve">      </w:t>
                  </w:r>
                </w:p>
                <w:p w14:paraId="50C6C953" w14:textId="77777777" w:rsidR="00C35C85" w:rsidRDefault="00C35C85" w:rsidP="00C35C85">
                  <w:pPr>
                    <w:rPr>
                      <w:rFonts w:ascii="Arial" w:hAnsi="Arial" w:cs="Arial"/>
                      <w:bCs/>
                      <w:sz w:val="18"/>
                      <w:szCs w:val="18"/>
                    </w:rPr>
                  </w:pPr>
                  <w:r>
                    <w:rPr>
                      <w:rFonts w:ascii="Arial" w:hAnsi="Arial" w:cs="Arial"/>
                      <w:bCs/>
                      <w:sz w:val="18"/>
                      <w:szCs w:val="18"/>
                    </w:rPr>
                    <w:t>Πείρα από 2+ (δύο) μέχρι 3 (τρία) χρόνια</w:t>
                  </w:r>
                  <w:r>
                    <w:rPr>
                      <w:rFonts w:ascii="Arial" w:hAnsi="Arial" w:cs="Arial"/>
                      <w:bCs/>
                      <w:sz w:val="18"/>
                      <w:szCs w:val="18"/>
                    </w:rPr>
                    <w:tab/>
                  </w:r>
                  <w:r>
                    <w:rPr>
                      <w:rFonts w:ascii="Arial" w:hAnsi="Arial" w:cs="Arial"/>
                      <w:bCs/>
                      <w:sz w:val="18"/>
                      <w:szCs w:val="18"/>
                    </w:rPr>
                    <w:tab/>
                    <w:t xml:space="preserve">      </w:t>
                  </w:r>
                </w:p>
                <w:p w14:paraId="75265E46" w14:textId="77777777" w:rsidR="00C35C85" w:rsidRDefault="00C35C85" w:rsidP="00C35C85">
                  <w:pPr>
                    <w:rPr>
                      <w:rFonts w:ascii="Arial" w:hAnsi="Arial" w:cs="Arial"/>
                      <w:bCs/>
                      <w:sz w:val="18"/>
                      <w:szCs w:val="18"/>
                    </w:rPr>
                  </w:pPr>
                  <w:r>
                    <w:rPr>
                      <w:rFonts w:ascii="Arial" w:hAnsi="Arial" w:cs="Arial"/>
                      <w:bCs/>
                      <w:sz w:val="18"/>
                      <w:szCs w:val="18"/>
                    </w:rPr>
                    <w:t>Πείρα από 3+ (τρία) μέχρι 4 (τέσσερα) χρόνια</w:t>
                  </w:r>
                  <w:r>
                    <w:rPr>
                      <w:rFonts w:ascii="Arial" w:hAnsi="Arial" w:cs="Arial"/>
                      <w:bCs/>
                      <w:sz w:val="18"/>
                      <w:szCs w:val="18"/>
                    </w:rPr>
                    <w:tab/>
                    <w:t xml:space="preserve">      </w:t>
                  </w:r>
                </w:p>
                <w:p w14:paraId="5BFB9D90" w14:textId="77777777" w:rsidR="00C35C85" w:rsidRDefault="00C35C85" w:rsidP="00C35C85">
                  <w:pPr>
                    <w:rPr>
                      <w:rFonts w:ascii="Arial" w:hAnsi="Arial" w:cs="Arial"/>
                      <w:bCs/>
                      <w:sz w:val="18"/>
                      <w:szCs w:val="18"/>
                    </w:rPr>
                  </w:pPr>
                  <w:r>
                    <w:rPr>
                      <w:rFonts w:ascii="Arial" w:hAnsi="Arial" w:cs="Arial"/>
                      <w:bCs/>
                      <w:sz w:val="18"/>
                      <w:szCs w:val="18"/>
                    </w:rPr>
                    <w:t>Πείρα από 4+ (τέσσερα) μέχρι 5 (πέντε) χρόνια</w:t>
                  </w:r>
                  <w:r>
                    <w:rPr>
                      <w:rFonts w:ascii="Arial" w:hAnsi="Arial" w:cs="Arial"/>
                      <w:bCs/>
                      <w:sz w:val="18"/>
                      <w:szCs w:val="18"/>
                    </w:rPr>
                    <w:tab/>
                    <w:t xml:space="preserve">      </w:t>
                  </w:r>
                </w:p>
                <w:p w14:paraId="5ED87A26" w14:textId="77777777" w:rsidR="00C35C85" w:rsidRDefault="00C35C85" w:rsidP="00C35C85">
                  <w:pPr>
                    <w:rPr>
                      <w:rFonts w:ascii="Arial" w:hAnsi="Arial" w:cs="Arial"/>
                      <w:bCs/>
                      <w:sz w:val="18"/>
                      <w:szCs w:val="18"/>
                    </w:rPr>
                  </w:pPr>
                  <w:r>
                    <w:rPr>
                      <w:rFonts w:ascii="Arial" w:hAnsi="Arial" w:cs="Arial"/>
                      <w:bCs/>
                      <w:sz w:val="18"/>
                      <w:szCs w:val="18"/>
                    </w:rPr>
                    <w:t>Πείρα από 5+ (πέντε) χρόνια</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p>
              </w:tc>
              <w:tc>
                <w:tcPr>
                  <w:tcW w:w="3773" w:type="dxa"/>
                  <w:tcBorders>
                    <w:top w:val="nil"/>
                    <w:left w:val="nil"/>
                    <w:bottom w:val="nil"/>
                    <w:right w:val="nil"/>
                  </w:tcBorders>
                  <w:hideMark/>
                </w:tcPr>
                <w:p w14:paraId="31D2DFAB" w14:textId="77777777" w:rsidR="00C35C85" w:rsidRDefault="00C35C85" w:rsidP="00C35C85">
                  <w:pPr>
                    <w:rPr>
                      <w:rFonts w:ascii="Arial" w:hAnsi="Arial" w:cs="Arial"/>
                      <w:bCs/>
                      <w:sz w:val="18"/>
                      <w:szCs w:val="18"/>
                    </w:rPr>
                  </w:pPr>
                  <w:r>
                    <w:rPr>
                      <w:rFonts w:ascii="Arial" w:hAnsi="Arial" w:cs="Arial"/>
                      <w:bCs/>
                      <w:sz w:val="18"/>
                      <w:szCs w:val="18"/>
                    </w:rPr>
                    <w:t>0 μονάδες</w:t>
                  </w:r>
                </w:p>
                <w:p w14:paraId="01DB7120" w14:textId="77777777" w:rsidR="00C35C85" w:rsidRDefault="00C35C85" w:rsidP="00C35C85">
                  <w:pPr>
                    <w:rPr>
                      <w:rFonts w:ascii="Arial" w:hAnsi="Arial" w:cs="Arial"/>
                      <w:bCs/>
                      <w:sz w:val="18"/>
                      <w:szCs w:val="18"/>
                    </w:rPr>
                  </w:pPr>
                  <w:r>
                    <w:rPr>
                      <w:rFonts w:ascii="Arial" w:hAnsi="Arial" w:cs="Arial"/>
                      <w:bCs/>
                      <w:sz w:val="18"/>
                      <w:szCs w:val="18"/>
                    </w:rPr>
                    <w:t>1 μονάδα</w:t>
                  </w:r>
                </w:p>
                <w:p w14:paraId="5A8F8F79" w14:textId="77777777" w:rsidR="00C35C85" w:rsidRDefault="00C35C85" w:rsidP="00C35C85">
                  <w:pPr>
                    <w:rPr>
                      <w:rFonts w:ascii="Arial" w:hAnsi="Arial" w:cs="Arial"/>
                      <w:bCs/>
                      <w:sz w:val="18"/>
                      <w:szCs w:val="18"/>
                    </w:rPr>
                  </w:pPr>
                  <w:r>
                    <w:rPr>
                      <w:rFonts w:ascii="Arial" w:hAnsi="Arial" w:cs="Arial"/>
                      <w:bCs/>
                      <w:sz w:val="18"/>
                      <w:szCs w:val="18"/>
                    </w:rPr>
                    <w:t>2 μονάδες</w:t>
                  </w:r>
                </w:p>
                <w:p w14:paraId="507FED4D" w14:textId="77777777" w:rsidR="00C35C85" w:rsidRDefault="00C35C85" w:rsidP="00C35C85">
                  <w:pPr>
                    <w:rPr>
                      <w:rFonts w:ascii="Arial" w:hAnsi="Arial" w:cs="Arial"/>
                      <w:bCs/>
                      <w:sz w:val="18"/>
                      <w:szCs w:val="18"/>
                    </w:rPr>
                  </w:pPr>
                  <w:r>
                    <w:rPr>
                      <w:rFonts w:ascii="Arial" w:hAnsi="Arial" w:cs="Arial"/>
                      <w:bCs/>
                      <w:sz w:val="18"/>
                      <w:szCs w:val="18"/>
                    </w:rPr>
                    <w:t>3 μονάδες</w:t>
                  </w:r>
                </w:p>
                <w:p w14:paraId="56BF735F" w14:textId="77777777" w:rsidR="00C35C85" w:rsidRDefault="00C35C85" w:rsidP="00C35C85">
                  <w:pPr>
                    <w:rPr>
                      <w:rFonts w:ascii="Arial" w:hAnsi="Arial" w:cs="Arial"/>
                      <w:bCs/>
                      <w:sz w:val="18"/>
                      <w:szCs w:val="18"/>
                    </w:rPr>
                  </w:pPr>
                  <w:r>
                    <w:rPr>
                      <w:rFonts w:ascii="Arial" w:hAnsi="Arial" w:cs="Arial"/>
                      <w:bCs/>
                      <w:sz w:val="18"/>
                      <w:szCs w:val="18"/>
                    </w:rPr>
                    <w:t>4 μονάδες</w:t>
                  </w:r>
                </w:p>
                <w:p w14:paraId="09B9D988" w14:textId="77777777" w:rsidR="00C35C85" w:rsidRDefault="00C35C85" w:rsidP="00C35C85">
                  <w:pPr>
                    <w:rPr>
                      <w:rFonts w:ascii="Arial" w:hAnsi="Arial" w:cs="Arial"/>
                      <w:bCs/>
                      <w:sz w:val="18"/>
                      <w:szCs w:val="18"/>
                    </w:rPr>
                  </w:pPr>
                  <w:r>
                    <w:rPr>
                      <w:rFonts w:ascii="Arial" w:hAnsi="Arial" w:cs="Arial"/>
                      <w:bCs/>
                      <w:sz w:val="18"/>
                      <w:szCs w:val="18"/>
                    </w:rPr>
                    <w:t>5 μονάδες</w:t>
                  </w:r>
                </w:p>
              </w:tc>
            </w:tr>
          </w:tbl>
          <w:p w14:paraId="08635E17" w14:textId="2115C7AD" w:rsidR="008860D3" w:rsidRPr="008860D3" w:rsidRDefault="008860D3" w:rsidP="00C35C85">
            <w:pPr>
              <w:rPr>
                <w:rFonts w:ascii="Arial" w:hAnsi="Arial" w:cs="Arial"/>
                <w:bCs/>
                <w:sz w:val="18"/>
                <w:szCs w:val="18"/>
              </w:rPr>
            </w:pP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bookmarkStart w:id="2" w:name="_Hlk212119949"/>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2"/>
            <w:tcBorders>
              <w:top w:val="nil"/>
              <w:left w:val="nil"/>
              <w:bottom w:val="nil"/>
              <w:right w:val="nil"/>
            </w:tcBorders>
          </w:tcPr>
          <w:p w14:paraId="42DC5E0D" w14:textId="6EC5E66A"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8E25AD">
              <w:rPr>
                <w:rFonts w:ascii="Arial" w:hAnsi="Arial" w:cs="Arial"/>
                <w:bCs/>
                <w:sz w:val="18"/>
                <w:szCs w:val="18"/>
              </w:rPr>
              <w:t>τον Δημοτικό Μηχανικό</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2"/>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5"/>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5"/>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w:t>
            </w:r>
            <w:proofErr w:type="spellStart"/>
            <w:r w:rsidRPr="000A7B0B">
              <w:rPr>
                <w:rFonts w:ascii="Arial" w:hAnsi="Arial" w:cs="Arial"/>
                <w:sz w:val="18"/>
                <w:szCs w:val="18"/>
              </w:rPr>
              <w:t>όροις</w:t>
            </w:r>
            <w:proofErr w:type="spellEnd"/>
            <w:r w:rsidRPr="000A7B0B">
              <w:rPr>
                <w:rFonts w:ascii="Arial" w:hAnsi="Arial" w:cs="Arial"/>
                <w:sz w:val="18"/>
                <w:szCs w:val="18"/>
              </w:rPr>
              <w:t>.</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29C"/>
    <w:multiLevelType w:val="hybridMultilevel"/>
    <w:tmpl w:val="038C5676"/>
    <w:lvl w:ilvl="0" w:tplc="58BCA9F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 w15:restartNumberingAfterBreak="0">
    <w:nsid w:val="1D5D240A"/>
    <w:multiLevelType w:val="hybridMultilevel"/>
    <w:tmpl w:val="5E88E1EA"/>
    <w:lvl w:ilvl="0" w:tplc="2C8412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9"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6C9E3A84"/>
    <w:multiLevelType w:val="hybridMultilevel"/>
    <w:tmpl w:val="8CF8AEF4"/>
    <w:lvl w:ilvl="0" w:tplc="DF8818C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0"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10"/>
  </w:num>
  <w:num w:numId="2" w16cid:durableId="2113864807">
    <w:abstractNumId w:val="20"/>
  </w:num>
  <w:num w:numId="3" w16cid:durableId="372196454">
    <w:abstractNumId w:val="6"/>
  </w:num>
  <w:num w:numId="4" w16cid:durableId="1558585705">
    <w:abstractNumId w:val="5"/>
  </w:num>
  <w:num w:numId="5" w16cid:durableId="1852987146">
    <w:abstractNumId w:val="3"/>
  </w:num>
  <w:num w:numId="6" w16cid:durableId="294674867">
    <w:abstractNumId w:val="22"/>
  </w:num>
  <w:num w:numId="7" w16cid:durableId="1924756637">
    <w:abstractNumId w:val="13"/>
  </w:num>
  <w:num w:numId="8" w16cid:durableId="795368365">
    <w:abstractNumId w:val="14"/>
  </w:num>
  <w:num w:numId="9" w16cid:durableId="953250026">
    <w:abstractNumId w:val="11"/>
  </w:num>
  <w:num w:numId="10" w16cid:durableId="772435314">
    <w:abstractNumId w:val="0"/>
  </w:num>
  <w:num w:numId="11" w16cid:durableId="1865511792">
    <w:abstractNumId w:val="7"/>
  </w:num>
  <w:num w:numId="12" w16cid:durableId="759761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8"/>
  </w:num>
  <w:num w:numId="14" w16cid:durableId="192306628">
    <w:abstractNumId w:val="19"/>
  </w:num>
  <w:num w:numId="15" w16cid:durableId="4309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7"/>
  </w:num>
  <w:num w:numId="20" w16cid:durableId="1394039813">
    <w:abstractNumId w:val="16"/>
  </w:num>
  <w:num w:numId="21" w16cid:durableId="971054371">
    <w:abstractNumId w:val="1"/>
  </w:num>
  <w:num w:numId="22" w16cid:durableId="1139493230">
    <w:abstractNumId w:val="21"/>
  </w:num>
  <w:num w:numId="23" w16cid:durableId="2111929456">
    <w:abstractNumId w:val="2"/>
  </w:num>
  <w:num w:numId="24" w16cid:durableId="961571226">
    <w:abstractNumId w:val="4"/>
  </w:num>
  <w:num w:numId="25" w16cid:durableId="130307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51892"/>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A1F29"/>
    <w:rsid w:val="002B2E6B"/>
    <w:rsid w:val="002C6E9A"/>
    <w:rsid w:val="002D45B2"/>
    <w:rsid w:val="002F6274"/>
    <w:rsid w:val="003671DB"/>
    <w:rsid w:val="003B3E9A"/>
    <w:rsid w:val="003C09B8"/>
    <w:rsid w:val="003F1A0B"/>
    <w:rsid w:val="00461C21"/>
    <w:rsid w:val="004E44C2"/>
    <w:rsid w:val="00527363"/>
    <w:rsid w:val="00556507"/>
    <w:rsid w:val="005D1E71"/>
    <w:rsid w:val="00600281"/>
    <w:rsid w:val="0062364B"/>
    <w:rsid w:val="006350B3"/>
    <w:rsid w:val="0063692B"/>
    <w:rsid w:val="00651458"/>
    <w:rsid w:val="00660311"/>
    <w:rsid w:val="00662E32"/>
    <w:rsid w:val="00686B47"/>
    <w:rsid w:val="006960A2"/>
    <w:rsid w:val="006C123D"/>
    <w:rsid w:val="006E5896"/>
    <w:rsid w:val="006E69A1"/>
    <w:rsid w:val="00743A18"/>
    <w:rsid w:val="007562F0"/>
    <w:rsid w:val="007A0550"/>
    <w:rsid w:val="007A57F2"/>
    <w:rsid w:val="007B0423"/>
    <w:rsid w:val="007B3CBA"/>
    <w:rsid w:val="007F217B"/>
    <w:rsid w:val="00825CDB"/>
    <w:rsid w:val="00860DC6"/>
    <w:rsid w:val="00881558"/>
    <w:rsid w:val="008860D3"/>
    <w:rsid w:val="008A7D37"/>
    <w:rsid w:val="008C4B12"/>
    <w:rsid w:val="008E25AD"/>
    <w:rsid w:val="00931FB1"/>
    <w:rsid w:val="00953545"/>
    <w:rsid w:val="00965456"/>
    <w:rsid w:val="00974081"/>
    <w:rsid w:val="00997C21"/>
    <w:rsid w:val="009B2C35"/>
    <w:rsid w:val="00A015CA"/>
    <w:rsid w:val="00A173B0"/>
    <w:rsid w:val="00A17EF2"/>
    <w:rsid w:val="00A37944"/>
    <w:rsid w:val="00A71625"/>
    <w:rsid w:val="00A7214E"/>
    <w:rsid w:val="00A8292D"/>
    <w:rsid w:val="00AC6D78"/>
    <w:rsid w:val="00AF0145"/>
    <w:rsid w:val="00AF1F08"/>
    <w:rsid w:val="00B062A3"/>
    <w:rsid w:val="00B2272A"/>
    <w:rsid w:val="00B70F94"/>
    <w:rsid w:val="00B92D36"/>
    <w:rsid w:val="00BA5716"/>
    <w:rsid w:val="00BE03F2"/>
    <w:rsid w:val="00C16C30"/>
    <w:rsid w:val="00C35190"/>
    <w:rsid w:val="00C35C85"/>
    <w:rsid w:val="00C41A1E"/>
    <w:rsid w:val="00C4477D"/>
    <w:rsid w:val="00C47D11"/>
    <w:rsid w:val="00C51FA6"/>
    <w:rsid w:val="00C857D6"/>
    <w:rsid w:val="00CB0F95"/>
    <w:rsid w:val="00D233DB"/>
    <w:rsid w:val="00D729B5"/>
    <w:rsid w:val="00D97C4E"/>
    <w:rsid w:val="00DA7657"/>
    <w:rsid w:val="00DD1EAB"/>
    <w:rsid w:val="00DD722D"/>
    <w:rsid w:val="00DE078F"/>
    <w:rsid w:val="00DE7CA0"/>
    <w:rsid w:val="00E15984"/>
    <w:rsid w:val="00E43178"/>
    <w:rsid w:val="00E51153"/>
    <w:rsid w:val="00E5316D"/>
    <w:rsid w:val="00E7779B"/>
    <w:rsid w:val="00E77AB1"/>
    <w:rsid w:val="00E97CB4"/>
    <w:rsid w:val="00EA16F5"/>
    <w:rsid w:val="00ED52A7"/>
    <w:rsid w:val="00F02193"/>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123D"/>
    <w:pPr>
      <w:spacing w:before="60"/>
      <w:jc w:val="left"/>
    </w:pPr>
    <w:rPr>
      <w:rFonts w:ascii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4</cp:revision>
  <cp:lastPrinted>2025-12-11T09:37:00Z</cp:lastPrinted>
  <dcterms:created xsi:type="dcterms:W3CDTF">2025-12-11T13:12:00Z</dcterms:created>
  <dcterms:modified xsi:type="dcterms:W3CDTF">2025-12-12T10:01:00Z</dcterms:modified>
</cp:coreProperties>
</file>